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2188F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62A0406">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24E93452">
            <w:pPr>
              <w:pStyle w:val="18"/>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91.100.30</w:t>
            </w:r>
            <w:r>
              <w:rPr>
                <w:rFonts w:ascii="黑体" w:hAnsi="黑体" w:eastAsia="黑体"/>
                <w:sz w:val="21"/>
                <w:szCs w:val="21"/>
              </w:rPr>
              <w:fldChar w:fldCharType="end"/>
            </w:r>
            <w:bookmarkEnd w:id="0"/>
          </w:p>
        </w:tc>
      </w:tr>
      <w:tr w14:paraId="2FC92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E2ABD5D">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8"/>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2C49274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68AF6882">
                  <w:pPr>
                    <w:pStyle w:val="50"/>
                    <w:framePr w:wrap="notBeside" w:vAnchor="page" w:hAnchor="page" w:x="1372" w:y="568"/>
                    <w:ind w:left="420" w:right="624"/>
                    <w:rPr>
                      <w:rFonts w:hint="eastAsia"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14:paraId="0D73D543">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P33</w:t>
            </w:r>
            <w:r>
              <w:rPr>
                <w:rFonts w:ascii="黑体" w:hAnsi="黑体" w:eastAsia="黑体"/>
                <w:sz w:val="21"/>
                <w:szCs w:val="21"/>
              </w:rPr>
              <w:fldChar w:fldCharType="end"/>
            </w:r>
            <w:bookmarkEnd w:id="2"/>
          </w:p>
        </w:tc>
      </w:tr>
    </w:tbl>
    <w:p w14:paraId="53DDB082">
      <w:pPr>
        <w:pStyle w:val="51"/>
        <w:framePr w:w="9639" w:h="624" w:hRule="exact" w:hSpace="181" w:vSpace="181" w:wrap="around" w:hAnchor="page" w:x="1305" w:y="2269"/>
        <w:rPr>
          <w:rFonts w:hint="eastAsia"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14:paraId="7AC94AC2">
      <w:pPr>
        <w:pStyle w:val="196"/>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14:paraId="1745E506">
      <w:pPr>
        <w:pStyle w:val="197"/>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6F6FC40F">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DC16C16">
      <w:pPr>
        <w:pStyle w:val="51"/>
        <w:framePr w:w="9639" w:h="6976" w:hRule="exact" w:hSpace="0" w:vSpace="0" w:wrap="around" w:hAnchor="page" w:y="6408"/>
        <w:jc w:val="center"/>
        <w:rPr>
          <w:rFonts w:hint="eastAsia" w:ascii="黑体" w:hAnsi="黑体" w:eastAsia="黑体"/>
          <w:b w:val="0"/>
          <w:bCs w:val="0"/>
          <w:w w:val="100"/>
        </w:rPr>
      </w:pPr>
    </w:p>
    <w:p w14:paraId="705C4C8D">
      <w:pPr>
        <w:pStyle w:val="198"/>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装配式混凝土结构高效连接技术规程</w:t>
      </w:r>
      <w:r>
        <w:fldChar w:fldCharType="end"/>
      </w:r>
      <w:bookmarkEnd w:id="9"/>
    </w:p>
    <w:p w14:paraId="1FF19EC8">
      <w:pPr>
        <w:framePr w:w="9639" w:h="6974" w:hRule="exact" w:wrap="around" w:vAnchor="page" w:hAnchor="page" w:x="1419" w:y="6408" w:anchorLock="1"/>
        <w:ind w:left="-1418"/>
      </w:pPr>
    </w:p>
    <w:p w14:paraId="13652551">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Technical Specification for High-efficiency Connection of Prefabricated Concrete Structures</w:t>
      </w:r>
      <w:r>
        <w:rPr>
          <w:rFonts w:eastAsia="黑体"/>
          <w:szCs w:val="28"/>
        </w:rPr>
        <w:fldChar w:fldCharType="end"/>
      </w:r>
      <w:bookmarkEnd w:id="10"/>
    </w:p>
    <w:p w14:paraId="2A5552EB">
      <w:pPr>
        <w:framePr w:w="9639" w:h="6974" w:hRule="exact" w:wrap="around" w:vAnchor="page" w:hAnchor="page" w:x="1419" w:y="6408" w:anchorLock="1"/>
        <w:spacing w:line="760" w:lineRule="exact"/>
        <w:ind w:left="-1418"/>
      </w:pPr>
    </w:p>
    <w:p w14:paraId="265AC795">
      <w:pPr>
        <w:pStyle w:val="126"/>
        <w:framePr w:w="9639" w:h="6974" w:hRule="exact" w:wrap="around" w:vAnchor="page" w:hAnchor="page" w:x="1419" w:y="6408" w:anchorLock="1"/>
        <w:textAlignment w:val="bottom"/>
        <w:rPr>
          <w:rFonts w:eastAsia="黑体"/>
          <w:szCs w:val="28"/>
        </w:rPr>
      </w:pPr>
    </w:p>
    <w:p w14:paraId="03A75A2D">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463B28EB">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669D9E87">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47D7951B">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hint="eastAsia" w:ascii="黑体"/>
        </w:rPr>
        <w:t>2025</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34801483">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hint="eastAsia" w:ascii="黑体"/>
        </w:rPr>
        <w:t>2025</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309FA80D">
      <w:pPr>
        <w:pStyle w:val="152"/>
        <w:framePr w:h="584" w:hRule="exact" w:hSpace="181" w:vSpace="181" w:wrap="around" w:y="14800"/>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中国国际贸易促进委员会建设行业分会</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77FED8FB">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5259F3E4">
      <w:pPr>
        <w:pStyle w:val="92"/>
        <w:spacing w:after="360"/>
      </w:pPr>
      <w:bookmarkStart w:id="21" w:name="BookMark1"/>
      <w:r>
        <w:rPr>
          <w:rFonts w:hint="eastAsia"/>
          <w:spacing w:val="320"/>
        </w:rPr>
        <w:t>目</w:t>
      </w:r>
      <w:r>
        <w:rPr>
          <w:rFonts w:hint="eastAsia"/>
        </w:rPr>
        <w:t>次</w:t>
      </w:r>
    </w:p>
    <w:p w14:paraId="633E39FE">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"_Toc224821771" </w:instrText>
      </w:r>
      <w:r>
        <w:fldChar w:fldCharType="separate"/>
      </w:r>
      <w:r>
        <w:rPr>
          <w:rStyle w:val="33"/>
          <w:rFonts w:hint="eastAsia"/>
        </w:rPr>
        <w:t>前言</w:t>
      </w:r>
      <w:r>
        <w:rPr>
          <w:rFonts w:hint="eastAsia"/>
        </w:rPr>
        <w:tab/>
      </w:r>
      <w:r>
        <w:rPr>
          <w:rFonts w:hint="eastAsia"/>
        </w:rPr>
        <w:fldChar w:fldCharType="begin"/>
      </w:r>
      <w:r>
        <w:rPr>
          <w:rFonts w:hint="eastAsia"/>
        </w:rPr>
        <w:instrText xml:space="preserve"> </w:instrText>
      </w:r>
      <w:r>
        <w:instrText xml:space="preserve">PAGEREF _Toc224821771 \h</w:instrText>
      </w:r>
      <w:r>
        <w:rPr>
          <w:rFonts w:hint="eastAsia"/>
        </w:rPr>
        <w:instrText xml:space="preserve"> </w:instrText>
      </w:r>
      <w:r>
        <w:rPr>
          <w:rFonts w:hint="eastAsia"/>
        </w:rPr>
        <w:fldChar w:fldCharType="separate"/>
      </w:r>
      <w:r>
        <w:t>III</w:t>
      </w:r>
      <w:r>
        <w:rPr>
          <w:rFonts w:hint="eastAsia"/>
        </w:rPr>
        <w:fldChar w:fldCharType="end"/>
      </w:r>
      <w:r>
        <w:rPr>
          <w:rFonts w:hint="eastAsia"/>
        </w:rPr>
        <w:fldChar w:fldCharType="end"/>
      </w:r>
    </w:p>
    <w:p w14:paraId="6543A4F4">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"_Toc224821772" </w:instrText>
      </w:r>
      <w:r>
        <w:fldChar w:fldCharType="separate"/>
      </w:r>
      <w:r>
        <w:rPr>
          <w:rStyle w:val="33"/>
          <w:rFonts w:hint="eastAsia"/>
        </w:rPr>
        <w:t>1</w:t>
      </w:r>
      <w:r>
        <w:rPr>
          <w:rStyle w:val="33"/>
        </w:rPr>
        <w:t xml:space="preserve"> </w:t>
      </w:r>
      <w:r>
        <w:rPr>
          <w:rStyle w:val="33"/>
          <w:rFonts w:hint="eastAsia"/>
        </w:rPr>
        <w:t xml:space="preserve"> 范围</w:t>
      </w:r>
      <w:r>
        <w:rPr>
          <w:rFonts w:hint="eastAsia"/>
        </w:rPr>
        <w:tab/>
      </w:r>
      <w:r>
        <w:rPr>
          <w:rFonts w:hint="eastAsia"/>
        </w:rPr>
        <w:fldChar w:fldCharType="begin"/>
      </w:r>
      <w:r>
        <w:rPr>
          <w:rFonts w:hint="eastAsia"/>
        </w:rPr>
        <w:instrText xml:space="preserve"> </w:instrText>
      </w:r>
      <w:r>
        <w:instrText xml:space="preserve">PAGEREF _Toc224821772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F1C231E">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"_Toc224821773" </w:instrText>
      </w:r>
      <w:r>
        <w:fldChar w:fldCharType="separate"/>
      </w:r>
      <w:r>
        <w:rPr>
          <w:rStyle w:val="33"/>
          <w:rFonts w:hint="eastAsia"/>
        </w:rPr>
        <w:t>2</w:t>
      </w:r>
      <w:r>
        <w:rPr>
          <w:rStyle w:val="33"/>
        </w:rPr>
        <w:t xml:space="preserve"> </w:t>
      </w:r>
      <w:r>
        <w:rPr>
          <w:rStyle w:val="33"/>
          <w:rFonts w:hint="eastAsia"/>
        </w:rPr>
        <w:t xml:space="preserve"> 规范性引用文件</w:t>
      </w:r>
      <w:r>
        <w:rPr>
          <w:rFonts w:hint="eastAsia"/>
        </w:rPr>
        <w:tab/>
      </w:r>
      <w:r>
        <w:rPr>
          <w:rFonts w:hint="eastAsia"/>
        </w:rPr>
        <w:fldChar w:fldCharType="begin"/>
      </w:r>
      <w:r>
        <w:rPr>
          <w:rFonts w:hint="eastAsia"/>
        </w:rPr>
        <w:instrText xml:space="preserve"> </w:instrText>
      </w:r>
      <w:r>
        <w:instrText xml:space="preserve">PAGEREF _Toc224821773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257C271E">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"_Toc224821774" </w:instrText>
      </w:r>
      <w:r>
        <w:fldChar w:fldCharType="separate"/>
      </w:r>
      <w:r>
        <w:rPr>
          <w:rStyle w:val="33"/>
          <w:rFonts w:hint="eastAsia"/>
        </w:rPr>
        <w:t>3</w:t>
      </w:r>
      <w:r>
        <w:rPr>
          <w:rStyle w:val="33"/>
        </w:rPr>
        <w:t xml:space="preserve"> </w:t>
      </w:r>
      <w:r>
        <w:rPr>
          <w:rStyle w:val="33"/>
          <w:rFonts w:hint="eastAsia"/>
        </w:rPr>
        <w:t xml:space="preserve"> 术语和定义</w:t>
      </w:r>
      <w:r>
        <w:rPr>
          <w:rFonts w:hint="eastAsia"/>
        </w:rPr>
        <w:tab/>
      </w:r>
      <w:r>
        <w:rPr>
          <w:rFonts w:hint="eastAsia"/>
        </w:rPr>
        <w:fldChar w:fldCharType="begin"/>
      </w:r>
      <w:r>
        <w:rPr>
          <w:rFonts w:hint="eastAsia"/>
        </w:rPr>
        <w:instrText xml:space="preserve"> </w:instrText>
      </w:r>
      <w:r>
        <w:instrText xml:space="preserve">PAGEREF _Toc224821774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26F56F0F">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"_Toc224821775" </w:instrText>
      </w:r>
      <w:r>
        <w:fldChar w:fldCharType="separate"/>
      </w:r>
      <w:r>
        <w:rPr>
          <w:rStyle w:val="33"/>
          <w:rFonts w:hint="eastAsia"/>
        </w:rPr>
        <w:t>4</w:t>
      </w:r>
      <w:r>
        <w:rPr>
          <w:rStyle w:val="33"/>
        </w:rPr>
        <w:t xml:space="preserve"> </w:t>
      </w:r>
      <w:r>
        <w:rPr>
          <w:rStyle w:val="33"/>
          <w:rFonts w:hint="eastAsia"/>
        </w:rPr>
        <w:t xml:space="preserve"> 基本规定</w:t>
      </w:r>
      <w:r>
        <w:rPr>
          <w:rFonts w:hint="eastAsia"/>
        </w:rPr>
        <w:tab/>
      </w:r>
      <w:r>
        <w:rPr>
          <w:rFonts w:hint="eastAsia"/>
        </w:rPr>
        <w:fldChar w:fldCharType="begin"/>
      </w:r>
      <w:r>
        <w:rPr>
          <w:rFonts w:hint="eastAsia"/>
        </w:rPr>
        <w:instrText xml:space="preserve"> </w:instrText>
      </w:r>
      <w:r>
        <w:instrText xml:space="preserve">PAGEREF _Toc224821775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30B25F07">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"_Toc224821776" </w:instrText>
      </w:r>
      <w:r>
        <w:fldChar w:fldCharType="separate"/>
      </w:r>
      <w:r>
        <w:rPr>
          <w:rStyle w:val="33"/>
          <w:rFonts w:hint="eastAsia"/>
          <w14:scene3d>
            <w14:lightRig w14:rig="threePt" w14:dir="t">
              <w14:rot w14:lat="0" w14:lon="0" w14:rev="0"/>
            </w14:lightRig>
          </w14:scene3d>
        </w:rPr>
        <w:t>4.1</w:t>
      </w:r>
      <w:r>
        <w:rPr>
          <w:rStyle w:val="33"/>
          <w14:scene3d>
            <w14:lightRig w14:rig="threePt" w14:dir="t">
              <w14:rot w14:lat="0" w14:lon="0" w14:rev="0"/>
            </w14:lightRig>
          </w14:scene3d>
        </w:rPr>
        <w:t xml:space="preserve"> </w:t>
      </w:r>
      <w:r>
        <w:rPr>
          <w:rStyle w:val="33"/>
          <w:rFonts w:hint="eastAsia"/>
        </w:rPr>
        <w:t xml:space="preserve"> 通用要求</w:t>
      </w:r>
      <w:r>
        <w:rPr>
          <w:rFonts w:hint="eastAsia"/>
        </w:rPr>
        <w:tab/>
      </w:r>
      <w:r>
        <w:rPr>
          <w:rFonts w:hint="eastAsia"/>
        </w:rPr>
        <w:fldChar w:fldCharType="begin"/>
      </w:r>
      <w:r>
        <w:rPr>
          <w:rFonts w:hint="eastAsia"/>
        </w:rPr>
        <w:instrText xml:space="preserve"> </w:instrText>
      </w:r>
      <w:r>
        <w:instrText xml:space="preserve">PAGEREF _Toc224821776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5F45B72">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"_Toc224821777" </w:instrText>
      </w:r>
      <w:r>
        <w:fldChar w:fldCharType="separate"/>
      </w:r>
      <w:r>
        <w:rPr>
          <w:rStyle w:val="33"/>
          <w:rFonts w:hint="eastAsia"/>
          <w14:scene3d>
            <w14:lightRig w14:rig="threePt" w14:dir="t">
              <w14:rot w14:lat="0" w14:lon="0" w14:rev="0"/>
            </w14:lightRig>
          </w14:scene3d>
        </w:rPr>
        <w:t>4.2</w:t>
      </w:r>
      <w:r>
        <w:rPr>
          <w:rStyle w:val="33"/>
          <w14:scene3d>
            <w14:lightRig w14:rig="threePt" w14:dir="t">
              <w14:rot w14:lat="0" w14:lon="0" w14:rev="0"/>
            </w14:lightRig>
          </w14:scene3d>
        </w:rPr>
        <w:t xml:space="preserve"> </w:t>
      </w:r>
      <w:r>
        <w:rPr>
          <w:rStyle w:val="33"/>
          <w:rFonts w:hint="eastAsia"/>
        </w:rPr>
        <w:t xml:space="preserve"> 设计要求</w:t>
      </w:r>
      <w:r>
        <w:rPr>
          <w:rFonts w:hint="eastAsia"/>
        </w:rPr>
        <w:tab/>
      </w:r>
      <w:r>
        <w:rPr>
          <w:rFonts w:hint="eastAsia"/>
        </w:rPr>
        <w:fldChar w:fldCharType="begin"/>
      </w:r>
      <w:r>
        <w:rPr>
          <w:rFonts w:hint="eastAsia"/>
        </w:rPr>
        <w:instrText xml:space="preserve"> </w:instrText>
      </w:r>
      <w:r>
        <w:instrText xml:space="preserve">PAGEREF _Toc224821777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4A64FE54">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"_Toc224821778" </w:instrText>
      </w:r>
      <w:r>
        <w:fldChar w:fldCharType="separate"/>
      </w:r>
      <w:r>
        <w:rPr>
          <w:rStyle w:val="33"/>
          <w:rFonts w:hint="eastAsia"/>
          <w14:scene3d>
            <w14:lightRig w14:rig="threePt" w14:dir="t">
              <w14:rot w14:lat="0" w14:lon="0" w14:rev="0"/>
            </w14:lightRig>
          </w14:scene3d>
        </w:rPr>
        <w:t>4.3</w:t>
      </w:r>
      <w:r>
        <w:rPr>
          <w:rStyle w:val="33"/>
          <w14:scene3d>
            <w14:lightRig w14:rig="threePt" w14:dir="t">
              <w14:rot w14:lat="0" w14:lon="0" w14:rev="0"/>
            </w14:lightRig>
          </w14:scene3d>
        </w:rPr>
        <w:t xml:space="preserve"> </w:t>
      </w:r>
      <w:r>
        <w:rPr>
          <w:rStyle w:val="33"/>
          <w:rFonts w:hint="eastAsia"/>
        </w:rPr>
        <w:t xml:space="preserve"> 施工要求</w:t>
      </w:r>
      <w:r>
        <w:rPr>
          <w:rFonts w:hint="eastAsia"/>
        </w:rPr>
        <w:tab/>
      </w:r>
      <w:r>
        <w:rPr>
          <w:rFonts w:hint="eastAsia"/>
        </w:rPr>
        <w:fldChar w:fldCharType="begin"/>
      </w:r>
      <w:r>
        <w:rPr>
          <w:rFonts w:hint="eastAsia"/>
        </w:rPr>
        <w:instrText xml:space="preserve"> </w:instrText>
      </w:r>
      <w:r>
        <w:instrText xml:space="preserve">PAGEREF _Toc224821778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1F7DB528">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"_Toc224821779" </w:instrText>
      </w:r>
      <w:r>
        <w:fldChar w:fldCharType="separate"/>
      </w:r>
      <w:r>
        <w:rPr>
          <w:rStyle w:val="33"/>
          <w:rFonts w:hint="eastAsia"/>
          <w14:scene3d>
            <w14:lightRig w14:rig="threePt" w14:dir="t">
              <w14:rot w14:lat="0" w14:lon="0" w14:rev="0"/>
            </w14:lightRig>
          </w14:scene3d>
        </w:rPr>
        <w:t>4.4</w:t>
      </w:r>
      <w:r>
        <w:rPr>
          <w:rStyle w:val="33"/>
          <w14:scene3d>
            <w14:lightRig w14:rig="threePt" w14:dir="t">
              <w14:rot w14:lat="0" w14:lon="0" w14:rev="0"/>
            </w14:lightRig>
          </w14:scene3d>
        </w:rPr>
        <w:t xml:space="preserve"> </w:t>
      </w:r>
      <w:r>
        <w:rPr>
          <w:rStyle w:val="33"/>
          <w:rFonts w:hint="eastAsia"/>
        </w:rPr>
        <w:t xml:space="preserve"> 质量控制</w:t>
      </w:r>
      <w:r>
        <w:rPr>
          <w:rFonts w:hint="eastAsia"/>
        </w:rPr>
        <w:tab/>
      </w:r>
      <w:r>
        <w:rPr>
          <w:rFonts w:hint="eastAsia"/>
        </w:rPr>
        <w:fldChar w:fldCharType="begin"/>
      </w:r>
      <w:r>
        <w:rPr>
          <w:rFonts w:hint="eastAsia"/>
        </w:rPr>
        <w:instrText xml:space="preserve"> </w:instrText>
      </w:r>
      <w:r>
        <w:instrText xml:space="preserve">PAGEREF _Toc224821779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349B94CD">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"_Toc224821780" </w:instrText>
      </w:r>
      <w:r>
        <w:fldChar w:fldCharType="separate"/>
      </w:r>
      <w:r>
        <w:rPr>
          <w:rStyle w:val="33"/>
          <w:rFonts w:hint="eastAsia"/>
          <w14:scene3d>
            <w14:lightRig w14:rig="threePt" w14:dir="t">
              <w14:rot w14:lat="0" w14:lon="0" w14:rev="0"/>
            </w14:lightRig>
          </w14:scene3d>
        </w:rPr>
        <w:t>4.5</w:t>
      </w:r>
      <w:r>
        <w:rPr>
          <w:rStyle w:val="33"/>
          <w14:scene3d>
            <w14:lightRig w14:rig="threePt" w14:dir="t">
              <w14:rot w14:lat="0" w14:lon="0" w14:rev="0"/>
            </w14:lightRig>
          </w14:scene3d>
        </w:rPr>
        <w:t xml:space="preserve"> </w:t>
      </w:r>
      <w:r>
        <w:rPr>
          <w:rStyle w:val="33"/>
          <w:rFonts w:hint="eastAsia"/>
        </w:rPr>
        <w:t xml:space="preserve"> 安全与环保</w:t>
      </w:r>
      <w:r>
        <w:rPr>
          <w:rFonts w:hint="eastAsia"/>
        </w:rPr>
        <w:tab/>
      </w:r>
      <w:r>
        <w:rPr>
          <w:rFonts w:hint="eastAsia"/>
        </w:rPr>
        <w:fldChar w:fldCharType="begin"/>
      </w:r>
      <w:r>
        <w:rPr>
          <w:rFonts w:hint="eastAsia"/>
        </w:rPr>
        <w:instrText xml:space="preserve"> </w:instrText>
      </w:r>
      <w:r>
        <w:instrText xml:space="preserve">PAGEREF _Toc224821780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4FA84B12">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"_Toc224821781" </w:instrText>
      </w:r>
      <w:r>
        <w:fldChar w:fldCharType="separate"/>
      </w:r>
      <w:r>
        <w:rPr>
          <w:rStyle w:val="33"/>
          <w:rFonts w:hint="eastAsia"/>
          <w14:scene3d>
            <w14:lightRig w14:rig="threePt" w14:dir="t">
              <w14:rot w14:lat="0" w14:lon="0" w14:rev="0"/>
            </w14:lightRig>
          </w14:scene3d>
        </w:rPr>
        <w:t>4.6</w:t>
      </w:r>
      <w:r>
        <w:rPr>
          <w:rStyle w:val="33"/>
          <w14:scene3d>
            <w14:lightRig w14:rig="threePt" w14:dir="t">
              <w14:rot w14:lat="0" w14:lon="0" w14:rev="0"/>
            </w14:lightRig>
          </w14:scene3d>
        </w:rPr>
        <w:t xml:space="preserve"> </w:t>
      </w:r>
      <w:r>
        <w:rPr>
          <w:rStyle w:val="33"/>
          <w:rFonts w:hint="eastAsia"/>
        </w:rPr>
        <w:t xml:space="preserve"> 数字化管理</w:t>
      </w:r>
      <w:r>
        <w:rPr>
          <w:rFonts w:hint="eastAsia"/>
        </w:rPr>
        <w:tab/>
      </w:r>
      <w:r>
        <w:rPr>
          <w:rFonts w:hint="eastAsia"/>
        </w:rPr>
        <w:fldChar w:fldCharType="begin"/>
      </w:r>
      <w:r>
        <w:rPr>
          <w:rFonts w:hint="eastAsia"/>
        </w:rPr>
        <w:instrText xml:space="preserve"> </w:instrText>
      </w:r>
      <w:r>
        <w:instrText xml:space="preserve">PAGEREF _Toc224821781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0654E023">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"_Toc224821782" </w:instrText>
      </w:r>
      <w:r>
        <w:fldChar w:fldCharType="separate"/>
      </w:r>
      <w:r>
        <w:rPr>
          <w:rStyle w:val="33"/>
          <w:rFonts w:hint="eastAsia"/>
        </w:rPr>
        <w:t>5</w:t>
      </w:r>
      <w:r>
        <w:rPr>
          <w:rStyle w:val="33"/>
        </w:rPr>
        <w:t xml:space="preserve"> </w:t>
      </w:r>
      <w:r>
        <w:rPr>
          <w:rStyle w:val="33"/>
          <w:rFonts w:hint="eastAsia"/>
        </w:rPr>
        <w:t xml:space="preserve"> 材料要求</w:t>
      </w:r>
      <w:r>
        <w:rPr>
          <w:rFonts w:hint="eastAsia"/>
        </w:rPr>
        <w:tab/>
      </w:r>
      <w:r>
        <w:rPr>
          <w:rFonts w:hint="eastAsia"/>
        </w:rPr>
        <w:fldChar w:fldCharType="begin"/>
      </w:r>
      <w:r>
        <w:rPr>
          <w:rFonts w:hint="eastAsia"/>
        </w:rPr>
        <w:instrText xml:space="preserve"> </w:instrText>
      </w:r>
      <w:r>
        <w:instrText xml:space="preserve">PAGEREF _Toc224821782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01275617">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"_Toc224821783" </w:instrText>
      </w:r>
      <w:r>
        <w:fldChar w:fldCharType="separate"/>
      </w:r>
      <w:r>
        <w:rPr>
          <w:rStyle w:val="33"/>
          <w:rFonts w:hint="eastAsia"/>
          <w14:scene3d>
            <w14:lightRig w14:rig="threePt" w14:dir="t">
              <w14:rot w14:lat="0" w14:lon="0" w14:rev="0"/>
            </w14:lightRig>
          </w14:scene3d>
        </w:rPr>
        <w:t>5.1</w:t>
      </w:r>
      <w:r>
        <w:rPr>
          <w:rStyle w:val="33"/>
          <w14:scene3d>
            <w14:lightRig w14:rig="threePt" w14:dir="t">
              <w14:rot w14:lat="0" w14:lon="0" w14:rev="0"/>
            </w14:lightRig>
          </w14:scene3d>
        </w:rPr>
        <w:t xml:space="preserve"> </w:t>
      </w:r>
      <w:r>
        <w:rPr>
          <w:rStyle w:val="33"/>
          <w:rFonts w:hint="eastAsia"/>
        </w:rPr>
        <w:t xml:space="preserve"> 钢筋</w:t>
      </w:r>
      <w:r>
        <w:rPr>
          <w:rFonts w:hint="eastAsia"/>
        </w:rPr>
        <w:tab/>
      </w:r>
      <w:r>
        <w:rPr>
          <w:rFonts w:hint="eastAsia"/>
        </w:rPr>
        <w:fldChar w:fldCharType="begin"/>
      </w:r>
      <w:r>
        <w:rPr>
          <w:rFonts w:hint="eastAsia"/>
        </w:rPr>
        <w:instrText xml:space="preserve"> </w:instrText>
      </w:r>
      <w:r>
        <w:instrText xml:space="preserve">PAGEREF _Toc224821783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5D1E6CBF">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"_Toc224821784" </w:instrText>
      </w:r>
      <w:r>
        <w:fldChar w:fldCharType="separate"/>
      </w:r>
      <w:r>
        <w:rPr>
          <w:rStyle w:val="33"/>
          <w:rFonts w:hint="eastAsia"/>
          <w14:scene3d>
            <w14:lightRig w14:rig="threePt" w14:dir="t">
              <w14:rot w14:lat="0" w14:lon="0" w14:rev="0"/>
            </w14:lightRig>
          </w14:scene3d>
        </w:rPr>
        <w:t>5.2</w:t>
      </w:r>
      <w:r>
        <w:rPr>
          <w:rStyle w:val="33"/>
          <w14:scene3d>
            <w14:lightRig w14:rig="threePt" w14:dir="t">
              <w14:rot w14:lat="0" w14:lon="0" w14:rev="0"/>
            </w14:lightRig>
          </w14:scene3d>
        </w:rPr>
        <w:t xml:space="preserve"> </w:t>
      </w:r>
      <w:r>
        <w:rPr>
          <w:rStyle w:val="33"/>
          <w:rFonts w:hint="eastAsia"/>
        </w:rPr>
        <w:t xml:space="preserve"> 灌浆料</w:t>
      </w:r>
      <w:r>
        <w:rPr>
          <w:rFonts w:hint="eastAsia"/>
        </w:rPr>
        <w:tab/>
      </w:r>
      <w:r>
        <w:rPr>
          <w:rFonts w:hint="eastAsia"/>
        </w:rPr>
        <w:fldChar w:fldCharType="begin"/>
      </w:r>
      <w:r>
        <w:rPr>
          <w:rFonts w:hint="eastAsia"/>
        </w:rPr>
        <w:instrText xml:space="preserve"> </w:instrText>
      </w:r>
      <w:r>
        <w:instrText xml:space="preserve">PAGEREF _Toc224821784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733EC4A9">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"_Toc224821785" </w:instrText>
      </w:r>
      <w:r>
        <w:fldChar w:fldCharType="separate"/>
      </w:r>
      <w:r>
        <w:rPr>
          <w:rStyle w:val="33"/>
          <w:rFonts w:hint="eastAsia"/>
          <w14:scene3d>
            <w14:lightRig w14:rig="threePt" w14:dir="t">
              <w14:rot w14:lat="0" w14:lon="0" w14:rev="0"/>
            </w14:lightRig>
          </w14:scene3d>
        </w:rPr>
        <w:t>5.3</w:t>
      </w:r>
      <w:r>
        <w:rPr>
          <w:rStyle w:val="33"/>
          <w14:scene3d>
            <w14:lightRig w14:rig="threePt" w14:dir="t">
              <w14:rot w14:lat="0" w14:lon="0" w14:rev="0"/>
            </w14:lightRig>
          </w14:scene3d>
        </w:rPr>
        <w:t xml:space="preserve"> </w:t>
      </w:r>
      <w:r>
        <w:rPr>
          <w:rStyle w:val="33"/>
          <w:rFonts w:hint="eastAsia"/>
        </w:rPr>
        <w:t xml:space="preserve"> 金属连接件</w:t>
      </w:r>
      <w:r>
        <w:rPr>
          <w:rFonts w:hint="eastAsia"/>
        </w:rPr>
        <w:tab/>
      </w:r>
      <w:r>
        <w:rPr>
          <w:rFonts w:hint="eastAsia"/>
        </w:rPr>
        <w:fldChar w:fldCharType="begin"/>
      </w:r>
      <w:r>
        <w:rPr>
          <w:rFonts w:hint="eastAsia"/>
        </w:rPr>
        <w:instrText xml:space="preserve"> </w:instrText>
      </w:r>
      <w:r>
        <w:instrText xml:space="preserve">PAGEREF _Toc224821785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4A0B7491">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"_Toc224821786" </w:instrText>
      </w:r>
      <w:r>
        <w:fldChar w:fldCharType="separate"/>
      </w:r>
      <w:r>
        <w:rPr>
          <w:rStyle w:val="33"/>
          <w:rFonts w:hint="eastAsia"/>
          <w14:scene3d>
            <w14:lightRig w14:rig="threePt" w14:dir="t">
              <w14:rot w14:lat="0" w14:lon="0" w14:rev="0"/>
            </w14:lightRig>
          </w14:scene3d>
        </w:rPr>
        <w:t>5.4</w:t>
      </w:r>
      <w:r>
        <w:rPr>
          <w:rStyle w:val="33"/>
          <w14:scene3d>
            <w14:lightRig w14:rig="threePt" w14:dir="t">
              <w14:rot w14:lat="0" w14:lon="0" w14:rev="0"/>
            </w14:lightRig>
          </w14:scene3d>
        </w:rPr>
        <w:t xml:space="preserve"> </w:t>
      </w:r>
      <w:r>
        <w:rPr>
          <w:rStyle w:val="33"/>
          <w:rFonts w:hint="eastAsia"/>
        </w:rPr>
        <w:t xml:space="preserve"> 后浇混凝土</w:t>
      </w:r>
      <w:r>
        <w:rPr>
          <w:rFonts w:hint="eastAsia"/>
        </w:rPr>
        <w:tab/>
      </w:r>
      <w:r>
        <w:rPr>
          <w:rFonts w:hint="eastAsia"/>
        </w:rPr>
        <w:fldChar w:fldCharType="begin"/>
      </w:r>
      <w:r>
        <w:rPr>
          <w:rFonts w:hint="eastAsia"/>
        </w:rPr>
        <w:instrText xml:space="preserve"> </w:instrText>
      </w:r>
      <w:r>
        <w:instrText xml:space="preserve">PAGEREF _Toc224821786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3483AB2E">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"_Toc224821787" </w:instrText>
      </w:r>
      <w:r>
        <w:fldChar w:fldCharType="separate"/>
      </w:r>
      <w:r>
        <w:rPr>
          <w:rStyle w:val="33"/>
          <w:rFonts w:hint="eastAsia"/>
        </w:rPr>
        <w:t>6</w:t>
      </w:r>
      <w:r>
        <w:rPr>
          <w:rStyle w:val="33"/>
        </w:rPr>
        <w:t xml:space="preserve"> </w:t>
      </w:r>
      <w:r>
        <w:rPr>
          <w:rStyle w:val="33"/>
          <w:rFonts w:hint="eastAsia"/>
        </w:rPr>
        <w:t xml:space="preserve"> 设计技术要求</w:t>
      </w:r>
      <w:r>
        <w:rPr>
          <w:rFonts w:hint="eastAsia"/>
        </w:rPr>
        <w:tab/>
      </w:r>
      <w:r>
        <w:rPr>
          <w:rFonts w:hint="eastAsia"/>
        </w:rPr>
        <w:fldChar w:fldCharType="begin"/>
      </w:r>
      <w:r>
        <w:rPr>
          <w:rFonts w:hint="eastAsia"/>
        </w:rPr>
        <w:instrText xml:space="preserve"> </w:instrText>
      </w:r>
      <w:r>
        <w:instrText xml:space="preserve">PAGEREF _Toc224821787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3A4AC8A5">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"_Toc224821788" </w:instrText>
      </w:r>
      <w:r>
        <w:fldChar w:fldCharType="separate"/>
      </w:r>
      <w:r>
        <w:rPr>
          <w:rStyle w:val="33"/>
          <w:rFonts w:hint="eastAsia"/>
          <w14:scene3d>
            <w14:lightRig w14:rig="threePt" w14:dir="t">
              <w14:rot w14:lat="0" w14:lon="0" w14:rev="0"/>
            </w14:lightRig>
          </w14:scene3d>
        </w:rPr>
        <w:t>6.1</w:t>
      </w:r>
      <w:r>
        <w:rPr>
          <w:rStyle w:val="33"/>
          <w14:scene3d>
            <w14:lightRig w14:rig="threePt" w14:dir="t">
              <w14:rot w14:lat="0" w14:lon="0" w14:rev="0"/>
            </w14:lightRig>
          </w14:scene3d>
        </w:rPr>
        <w:t xml:space="preserve"> </w:t>
      </w:r>
      <w:r>
        <w:rPr>
          <w:rStyle w:val="33"/>
          <w:rFonts w:hint="eastAsia"/>
        </w:rPr>
        <w:t xml:space="preserve"> 连接节点设计原则</w:t>
      </w:r>
      <w:r>
        <w:rPr>
          <w:rFonts w:hint="eastAsia"/>
        </w:rPr>
        <w:tab/>
      </w:r>
      <w:r>
        <w:rPr>
          <w:rFonts w:hint="eastAsia"/>
        </w:rPr>
        <w:fldChar w:fldCharType="begin"/>
      </w:r>
      <w:r>
        <w:rPr>
          <w:rFonts w:hint="eastAsia"/>
        </w:rPr>
        <w:instrText xml:space="preserve"> </w:instrText>
      </w:r>
      <w:r>
        <w:instrText xml:space="preserve">PAGEREF _Toc224821788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62003FFA">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"_Toc224821789" </w:instrText>
      </w:r>
      <w:r>
        <w:fldChar w:fldCharType="separate"/>
      </w:r>
      <w:r>
        <w:rPr>
          <w:rStyle w:val="33"/>
          <w:rFonts w:hint="eastAsia"/>
          <w14:scene3d>
            <w14:lightRig w14:rig="threePt" w14:dir="t">
              <w14:rot w14:lat="0" w14:lon="0" w14:rev="0"/>
            </w14:lightRig>
          </w14:scene3d>
        </w:rPr>
        <w:t>6.2</w:t>
      </w:r>
      <w:r>
        <w:rPr>
          <w:rStyle w:val="33"/>
          <w14:scene3d>
            <w14:lightRig w14:rig="threePt" w14:dir="t">
              <w14:rot w14:lat="0" w14:lon="0" w14:rev="0"/>
            </w14:lightRig>
          </w14:scene3d>
        </w:rPr>
        <w:t xml:space="preserve"> </w:t>
      </w:r>
      <w:r>
        <w:rPr>
          <w:rStyle w:val="33"/>
          <w:rFonts w:hint="eastAsia"/>
        </w:rPr>
        <w:t xml:space="preserve"> 分项连接技术设计要求</w:t>
      </w:r>
      <w:r>
        <w:rPr>
          <w:rFonts w:hint="eastAsia"/>
        </w:rPr>
        <w:tab/>
      </w:r>
      <w:r>
        <w:rPr>
          <w:rFonts w:hint="eastAsia"/>
        </w:rPr>
        <w:fldChar w:fldCharType="begin"/>
      </w:r>
      <w:r>
        <w:rPr>
          <w:rFonts w:hint="eastAsia"/>
        </w:rPr>
        <w:instrText xml:space="preserve"> </w:instrText>
      </w:r>
      <w:r>
        <w:instrText xml:space="preserve">PAGEREF _Toc224821789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3EA33216">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"_Toc224821790" </w:instrText>
      </w:r>
      <w:r>
        <w:fldChar w:fldCharType="separate"/>
      </w:r>
      <w:r>
        <w:rPr>
          <w:rStyle w:val="33"/>
          <w:rFonts w:hint="eastAsia"/>
          <w14:scene3d>
            <w14:lightRig w14:rig="threePt" w14:dir="t">
              <w14:rot w14:lat="0" w14:lon="0" w14:rev="0"/>
            </w14:lightRig>
          </w14:scene3d>
        </w:rPr>
        <w:t>6.3</w:t>
      </w:r>
      <w:r>
        <w:rPr>
          <w:rStyle w:val="33"/>
          <w14:scene3d>
            <w14:lightRig w14:rig="threePt" w14:dir="t">
              <w14:rot w14:lat="0" w14:lon="0" w14:rev="0"/>
            </w14:lightRig>
          </w14:scene3d>
        </w:rPr>
        <w:t xml:space="preserve"> </w:t>
      </w:r>
      <w:r>
        <w:rPr>
          <w:rStyle w:val="33"/>
          <w:rFonts w:hint="eastAsia"/>
        </w:rPr>
        <w:t xml:space="preserve"> 特殊工况设计</w:t>
      </w:r>
      <w:r>
        <w:rPr>
          <w:rFonts w:hint="eastAsia"/>
        </w:rPr>
        <w:tab/>
      </w:r>
      <w:r>
        <w:rPr>
          <w:rFonts w:hint="eastAsia"/>
        </w:rPr>
        <w:fldChar w:fldCharType="begin"/>
      </w:r>
      <w:r>
        <w:rPr>
          <w:rFonts w:hint="eastAsia"/>
        </w:rPr>
        <w:instrText xml:space="preserve"> </w:instrText>
      </w:r>
      <w:r>
        <w:instrText xml:space="preserve">PAGEREF _Toc224821790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5C54EC9">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"_Toc224821791" </w:instrText>
      </w:r>
      <w:r>
        <w:fldChar w:fldCharType="separate"/>
      </w:r>
      <w:r>
        <w:rPr>
          <w:rStyle w:val="33"/>
          <w:rFonts w:hint="eastAsia"/>
          <w14:scene3d>
            <w14:lightRig w14:rig="threePt" w14:dir="t">
              <w14:rot w14:lat="0" w14:lon="0" w14:rev="0"/>
            </w14:lightRig>
          </w14:scene3d>
        </w:rPr>
        <w:t>6.4</w:t>
      </w:r>
      <w:r>
        <w:rPr>
          <w:rStyle w:val="33"/>
          <w14:scene3d>
            <w14:lightRig w14:rig="threePt" w14:dir="t">
              <w14:rot w14:lat="0" w14:lon="0" w14:rev="0"/>
            </w14:lightRig>
          </w14:scene3d>
        </w:rPr>
        <w:t xml:space="preserve"> </w:t>
      </w:r>
      <w:r>
        <w:rPr>
          <w:rStyle w:val="33"/>
          <w:rFonts w:hint="eastAsia"/>
        </w:rPr>
        <w:t xml:space="preserve"> 与其他系统协调设计</w:t>
      </w:r>
      <w:r>
        <w:rPr>
          <w:rFonts w:hint="eastAsia"/>
        </w:rPr>
        <w:tab/>
      </w:r>
      <w:r>
        <w:rPr>
          <w:rFonts w:hint="eastAsia"/>
        </w:rPr>
        <w:fldChar w:fldCharType="begin"/>
      </w:r>
      <w:r>
        <w:rPr>
          <w:rFonts w:hint="eastAsia"/>
        </w:rPr>
        <w:instrText xml:space="preserve"> </w:instrText>
      </w:r>
      <w:r>
        <w:instrText xml:space="preserve">PAGEREF _Toc224821791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4D6C31DC">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"_Toc224821792" </w:instrText>
      </w:r>
      <w:r>
        <w:fldChar w:fldCharType="separate"/>
      </w:r>
      <w:r>
        <w:rPr>
          <w:rStyle w:val="33"/>
          <w:rFonts w:hint="eastAsia"/>
        </w:rPr>
        <w:t>7</w:t>
      </w:r>
      <w:r>
        <w:rPr>
          <w:rStyle w:val="33"/>
        </w:rPr>
        <w:t xml:space="preserve"> </w:t>
      </w:r>
      <w:r>
        <w:rPr>
          <w:rStyle w:val="33"/>
          <w:rFonts w:hint="eastAsia"/>
        </w:rPr>
        <w:t xml:space="preserve"> 施工工艺</w:t>
      </w:r>
      <w:r>
        <w:rPr>
          <w:rFonts w:hint="eastAsia"/>
        </w:rPr>
        <w:tab/>
      </w:r>
      <w:r>
        <w:rPr>
          <w:rFonts w:hint="eastAsia"/>
        </w:rPr>
        <w:fldChar w:fldCharType="begin"/>
      </w:r>
      <w:r>
        <w:rPr>
          <w:rFonts w:hint="eastAsia"/>
        </w:rPr>
        <w:instrText xml:space="preserve"> </w:instrText>
      </w:r>
      <w:r>
        <w:instrText xml:space="preserve">PAGEREF _Toc224821792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4AC1B1A4">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"_Toc224821793" </w:instrText>
      </w:r>
      <w:r>
        <w:fldChar w:fldCharType="separate"/>
      </w:r>
      <w:r>
        <w:rPr>
          <w:rStyle w:val="33"/>
          <w:rFonts w:hint="eastAsia"/>
          <w14:scene3d>
            <w14:lightRig w14:rig="threePt" w14:dir="t">
              <w14:rot w14:lat="0" w14:lon="0" w14:rev="0"/>
            </w14:lightRig>
          </w14:scene3d>
        </w:rPr>
        <w:t>7.1</w:t>
      </w:r>
      <w:r>
        <w:rPr>
          <w:rStyle w:val="33"/>
          <w14:scene3d>
            <w14:lightRig w14:rig="threePt" w14:dir="t">
              <w14:rot w14:lat="0" w14:lon="0" w14:rev="0"/>
            </w14:lightRig>
          </w14:scene3d>
        </w:rPr>
        <w:t xml:space="preserve"> </w:t>
      </w:r>
      <w:r>
        <w:rPr>
          <w:rStyle w:val="33"/>
          <w:rFonts w:hint="eastAsia"/>
        </w:rPr>
        <w:t xml:space="preserve"> 通用施工流程</w:t>
      </w:r>
      <w:r>
        <w:rPr>
          <w:rFonts w:hint="eastAsia"/>
        </w:rPr>
        <w:tab/>
      </w:r>
      <w:r>
        <w:rPr>
          <w:rFonts w:hint="eastAsia"/>
        </w:rPr>
        <w:fldChar w:fldCharType="begin"/>
      </w:r>
      <w:r>
        <w:rPr>
          <w:rFonts w:hint="eastAsia"/>
        </w:rPr>
        <w:instrText xml:space="preserve"> </w:instrText>
      </w:r>
      <w:r>
        <w:instrText xml:space="preserve">PAGEREF _Toc224821793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03C8CFED">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"_Toc224821794" </w:instrText>
      </w:r>
      <w:r>
        <w:fldChar w:fldCharType="separate"/>
      </w:r>
      <w:r>
        <w:rPr>
          <w:rStyle w:val="33"/>
          <w:rFonts w:hint="eastAsia"/>
          <w14:scene3d>
            <w14:lightRig w14:rig="threePt" w14:dir="t">
              <w14:rot w14:lat="0" w14:lon="0" w14:rev="0"/>
            </w14:lightRig>
          </w14:scene3d>
        </w:rPr>
        <w:t>7.2</w:t>
      </w:r>
      <w:r>
        <w:rPr>
          <w:rStyle w:val="33"/>
          <w14:scene3d>
            <w14:lightRig w14:rig="threePt" w14:dir="t">
              <w14:rot w14:lat="0" w14:lon="0" w14:rev="0"/>
            </w14:lightRig>
          </w14:scene3d>
        </w:rPr>
        <w:t xml:space="preserve"> </w:t>
      </w:r>
      <w:r>
        <w:rPr>
          <w:rStyle w:val="33"/>
          <w:rFonts w:hint="eastAsia"/>
        </w:rPr>
        <w:t xml:space="preserve"> 分项施工工艺</w:t>
      </w:r>
      <w:r>
        <w:rPr>
          <w:rFonts w:hint="eastAsia"/>
        </w:rPr>
        <w:tab/>
      </w:r>
      <w:r>
        <w:rPr>
          <w:rFonts w:hint="eastAsia"/>
        </w:rPr>
        <w:fldChar w:fldCharType="begin"/>
      </w:r>
      <w:r>
        <w:rPr>
          <w:rFonts w:hint="eastAsia"/>
        </w:rPr>
        <w:instrText xml:space="preserve"> </w:instrText>
      </w:r>
      <w:r>
        <w:instrText xml:space="preserve">PAGEREF _Toc224821794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49DD676D">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"_Toc224821795" </w:instrText>
      </w:r>
      <w:r>
        <w:fldChar w:fldCharType="separate"/>
      </w:r>
      <w:r>
        <w:rPr>
          <w:rStyle w:val="33"/>
          <w:rFonts w:hint="eastAsia"/>
          <w14:scene3d>
            <w14:lightRig w14:rig="threePt" w14:dir="t">
              <w14:rot w14:lat="0" w14:lon="0" w14:rev="0"/>
            </w14:lightRig>
          </w14:scene3d>
        </w:rPr>
        <w:t>7.3</w:t>
      </w:r>
      <w:r>
        <w:rPr>
          <w:rStyle w:val="33"/>
          <w14:scene3d>
            <w14:lightRig w14:rig="threePt" w14:dir="t">
              <w14:rot w14:lat="0" w14:lon="0" w14:rev="0"/>
            </w14:lightRig>
          </w14:scene3d>
        </w:rPr>
        <w:t xml:space="preserve"> </w:t>
      </w:r>
      <w:r>
        <w:rPr>
          <w:rStyle w:val="33"/>
          <w:rFonts w:hint="eastAsia"/>
        </w:rPr>
        <w:t xml:space="preserve"> 特殊工况施工</w:t>
      </w:r>
      <w:r>
        <w:rPr>
          <w:rFonts w:hint="eastAsia"/>
        </w:rPr>
        <w:tab/>
      </w:r>
      <w:r>
        <w:rPr>
          <w:rFonts w:hint="eastAsia"/>
        </w:rPr>
        <w:fldChar w:fldCharType="begin"/>
      </w:r>
      <w:r>
        <w:rPr>
          <w:rFonts w:hint="eastAsia"/>
        </w:rPr>
        <w:instrText xml:space="preserve"> </w:instrText>
      </w:r>
      <w:r>
        <w:instrText xml:space="preserve">PAGEREF _Toc224821795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4DD5A081">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"_Toc224821796" </w:instrText>
      </w:r>
      <w:r>
        <w:fldChar w:fldCharType="separate"/>
      </w:r>
      <w:r>
        <w:rPr>
          <w:rStyle w:val="33"/>
          <w:rFonts w:hint="eastAsia"/>
        </w:rPr>
        <w:t>8</w:t>
      </w:r>
      <w:r>
        <w:rPr>
          <w:rStyle w:val="33"/>
        </w:rPr>
        <w:t xml:space="preserve"> </w:t>
      </w:r>
      <w:r>
        <w:rPr>
          <w:rStyle w:val="33"/>
          <w:rFonts w:hint="eastAsia"/>
        </w:rPr>
        <w:t xml:space="preserve"> 质量检验与验收</w:t>
      </w:r>
      <w:r>
        <w:rPr>
          <w:rFonts w:hint="eastAsia"/>
        </w:rPr>
        <w:tab/>
      </w:r>
      <w:r>
        <w:rPr>
          <w:rFonts w:hint="eastAsia"/>
        </w:rPr>
        <w:fldChar w:fldCharType="begin"/>
      </w:r>
      <w:r>
        <w:rPr>
          <w:rFonts w:hint="eastAsia"/>
        </w:rPr>
        <w:instrText xml:space="preserve"> </w:instrText>
      </w:r>
      <w:r>
        <w:instrText xml:space="preserve">PAGEREF _Toc224821796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177B61E3">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"_Toc224821797" </w:instrText>
      </w:r>
      <w:r>
        <w:fldChar w:fldCharType="separate"/>
      </w:r>
      <w:r>
        <w:rPr>
          <w:rStyle w:val="33"/>
          <w:rFonts w:hint="eastAsia"/>
          <w14:scene3d>
            <w14:lightRig w14:rig="threePt" w14:dir="t">
              <w14:rot w14:lat="0" w14:lon="0" w14:rev="0"/>
            </w14:lightRig>
          </w14:scene3d>
        </w:rPr>
        <w:t>8.1</w:t>
      </w:r>
      <w:r>
        <w:rPr>
          <w:rStyle w:val="33"/>
          <w14:scene3d>
            <w14:lightRig w14:rig="threePt" w14:dir="t">
              <w14:rot w14:lat="0" w14:lon="0" w14:rev="0"/>
            </w14:lightRig>
          </w14:scene3d>
        </w:rPr>
        <w:t xml:space="preserve"> </w:t>
      </w:r>
      <w:r>
        <w:rPr>
          <w:rStyle w:val="33"/>
          <w:rFonts w:hint="eastAsia"/>
        </w:rPr>
        <w:t xml:space="preserve"> 一般规定</w:t>
      </w:r>
      <w:r>
        <w:rPr>
          <w:rFonts w:hint="eastAsia"/>
        </w:rPr>
        <w:tab/>
      </w:r>
      <w:r>
        <w:rPr>
          <w:rFonts w:hint="eastAsia"/>
        </w:rPr>
        <w:fldChar w:fldCharType="begin"/>
      </w:r>
      <w:r>
        <w:rPr>
          <w:rFonts w:hint="eastAsia"/>
        </w:rPr>
        <w:instrText xml:space="preserve"> </w:instrText>
      </w:r>
      <w:r>
        <w:instrText xml:space="preserve">PAGEREF _Toc224821797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7366FFF4">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"_Toc224821798" </w:instrText>
      </w:r>
      <w:r>
        <w:fldChar w:fldCharType="separate"/>
      </w:r>
      <w:r>
        <w:rPr>
          <w:rStyle w:val="33"/>
          <w:rFonts w:hint="eastAsia"/>
          <w14:scene3d>
            <w14:lightRig w14:rig="threePt" w14:dir="t">
              <w14:rot w14:lat="0" w14:lon="0" w14:rev="0"/>
            </w14:lightRig>
          </w14:scene3d>
        </w:rPr>
        <w:t>8.2</w:t>
      </w:r>
      <w:r>
        <w:rPr>
          <w:rStyle w:val="33"/>
          <w14:scene3d>
            <w14:lightRig w14:rig="threePt" w14:dir="t">
              <w14:rot w14:lat="0" w14:lon="0" w14:rev="0"/>
            </w14:lightRig>
          </w14:scene3d>
        </w:rPr>
        <w:t xml:space="preserve"> </w:t>
      </w:r>
      <w:r>
        <w:rPr>
          <w:rStyle w:val="33"/>
          <w:rFonts w:hint="eastAsia"/>
        </w:rPr>
        <w:t xml:space="preserve"> 过程质量控制</w:t>
      </w:r>
      <w:r>
        <w:rPr>
          <w:rFonts w:hint="eastAsia"/>
        </w:rPr>
        <w:tab/>
      </w:r>
      <w:r>
        <w:rPr>
          <w:rFonts w:hint="eastAsia"/>
        </w:rPr>
        <w:fldChar w:fldCharType="begin"/>
      </w:r>
      <w:r>
        <w:rPr>
          <w:rFonts w:hint="eastAsia"/>
        </w:rPr>
        <w:instrText xml:space="preserve"> </w:instrText>
      </w:r>
      <w:r>
        <w:instrText xml:space="preserve">PAGEREF _Toc224821798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51762036">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"_Toc224821799" </w:instrText>
      </w:r>
      <w:r>
        <w:fldChar w:fldCharType="separate"/>
      </w:r>
      <w:r>
        <w:rPr>
          <w:rStyle w:val="33"/>
          <w:rFonts w:hint="eastAsia"/>
          <w14:scene3d>
            <w14:lightRig w14:rig="threePt" w14:dir="t">
              <w14:rot w14:lat="0" w14:lon="0" w14:rev="0"/>
            </w14:lightRig>
          </w14:scene3d>
        </w:rPr>
        <w:t>8.3</w:t>
      </w:r>
      <w:r>
        <w:rPr>
          <w:rStyle w:val="33"/>
          <w14:scene3d>
            <w14:lightRig w14:rig="threePt" w14:dir="t">
              <w14:rot w14:lat="0" w14:lon="0" w14:rev="0"/>
            </w14:lightRig>
          </w14:scene3d>
        </w:rPr>
        <w:t xml:space="preserve"> </w:t>
      </w:r>
      <w:r>
        <w:rPr>
          <w:rStyle w:val="33"/>
          <w:rFonts w:hint="eastAsia"/>
        </w:rPr>
        <w:t xml:space="preserve"> 竣工验收</w:t>
      </w:r>
      <w:r>
        <w:rPr>
          <w:rFonts w:hint="eastAsia"/>
        </w:rPr>
        <w:tab/>
      </w:r>
      <w:r>
        <w:rPr>
          <w:rFonts w:hint="eastAsia"/>
        </w:rPr>
        <w:fldChar w:fldCharType="begin"/>
      </w:r>
      <w:r>
        <w:rPr>
          <w:rFonts w:hint="eastAsia"/>
        </w:rPr>
        <w:instrText xml:space="preserve"> </w:instrText>
      </w:r>
      <w:r>
        <w:instrText xml:space="preserve">PAGEREF _Toc224821799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3BBE9919">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"_Toc224821800" </w:instrText>
      </w:r>
      <w:r>
        <w:fldChar w:fldCharType="separate"/>
      </w:r>
      <w:r>
        <w:rPr>
          <w:rStyle w:val="33"/>
          <w:rFonts w:hint="eastAsia"/>
          <w14:scene3d>
            <w14:lightRig w14:rig="threePt" w14:dir="t">
              <w14:rot w14:lat="0" w14:lon="0" w14:rev="0"/>
            </w14:lightRig>
          </w14:scene3d>
        </w:rPr>
        <w:t>8.4</w:t>
      </w:r>
      <w:r>
        <w:rPr>
          <w:rStyle w:val="33"/>
          <w14:scene3d>
            <w14:lightRig w14:rig="threePt" w14:dir="t">
              <w14:rot w14:lat="0" w14:lon="0" w14:rev="0"/>
            </w14:lightRig>
          </w14:scene3d>
        </w:rPr>
        <w:t xml:space="preserve"> </w:t>
      </w:r>
      <w:r>
        <w:rPr>
          <w:rStyle w:val="33"/>
          <w:rFonts w:hint="eastAsia"/>
        </w:rPr>
        <w:t xml:space="preserve"> 检验批划分与判定</w:t>
      </w:r>
      <w:r>
        <w:rPr>
          <w:rFonts w:hint="eastAsia"/>
        </w:rPr>
        <w:tab/>
      </w:r>
      <w:r>
        <w:rPr>
          <w:rFonts w:hint="eastAsia"/>
        </w:rPr>
        <w:fldChar w:fldCharType="begin"/>
      </w:r>
      <w:r>
        <w:rPr>
          <w:rFonts w:hint="eastAsia"/>
        </w:rPr>
        <w:instrText xml:space="preserve"> </w:instrText>
      </w:r>
      <w:r>
        <w:instrText xml:space="preserve">PAGEREF _Toc224821800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1A0439FD">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"_Toc224821801" </w:instrText>
      </w:r>
      <w:r>
        <w:fldChar w:fldCharType="separate"/>
      </w:r>
      <w:r>
        <w:rPr>
          <w:rStyle w:val="33"/>
          <w:rFonts w:hint="eastAsia"/>
        </w:rPr>
        <w:t>9</w:t>
      </w:r>
      <w:r>
        <w:rPr>
          <w:rStyle w:val="33"/>
        </w:rPr>
        <w:t xml:space="preserve"> </w:t>
      </w:r>
      <w:r>
        <w:rPr>
          <w:rStyle w:val="33"/>
          <w:rFonts w:hint="eastAsia"/>
        </w:rPr>
        <w:t xml:space="preserve"> 安全与环保</w:t>
      </w:r>
      <w:r>
        <w:rPr>
          <w:rFonts w:hint="eastAsia"/>
        </w:rPr>
        <w:tab/>
      </w:r>
      <w:r>
        <w:rPr>
          <w:rFonts w:hint="eastAsia"/>
        </w:rPr>
        <w:fldChar w:fldCharType="begin"/>
      </w:r>
      <w:r>
        <w:rPr>
          <w:rFonts w:hint="eastAsia"/>
        </w:rPr>
        <w:instrText xml:space="preserve"> </w:instrText>
      </w:r>
      <w:r>
        <w:instrText xml:space="preserve">PAGEREF _Toc224821801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2F315396">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"_Toc224821802" </w:instrText>
      </w:r>
      <w:r>
        <w:fldChar w:fldCharType="separate"/>
      </w:r>
      <w:r>
        <w:rPr>
          <w:rStyle w:val="33"/>
          <w:rFonts w:hint="eastAsia"/>
          <w14:scene3d>
            <w14:lightRig w14:rig="threePt" w14:dir="t">
              <w14:rot w14:lat="0" w14:lon="0" w14:rev="0"/>
            </w14:lightRig>
          </w14:scene3d>
        </w:rPr>
        <w:t>9.1</w:t>
      </w:r>
      <w:r>
        <w:rPr>
          <w:rStyle w:val="33"/>
          <w14:scene3d>
            <w14:lightRig w14:rig="threePt" w14:dir="t">
              <w14:rot w14:lat="0" w14:lon="0" w14:rev="0"/>
            </w14:lightRig>
          </w14:scene3d>
        </w:rPr>
        <w:t xml:space="preserve"> </w:t>
      </w:r>
      <w:r>
        <w:rPr>
          <w:rStyle w:val="33"/>
          <w:rFonts w:hint="eastAsia"/>
        </w:rPr>
        <w:t xml:space="preserve"> 安全管理体系</w:t>
      </w:r>
      <w:r>
        <w:rPr>
          <w:rFonts w:hint="eastAsia"/>
        </w:rPr>
        <w:tab/>
      </w:r>
      <w:r>
        <w:rPr>
          <w:rFonts w:hint="eastAsia"/>
        </w:rPr>
        <w:fldChar w:fldCharType="begin"/>
      </w:r>
      <w:r>
        <w:rPr>
          <w:rFonts w:hint="eastAsia"/>
        </w:rPr>
        <w:instrText xml:space="preserve"> </w:instrText>
      </w:r>
      <w:r>
        <w:instrText xml:space="preserve">PAGEREF _Toc224821802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12606F92">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"_Toc224821803" </w:instrText>
      </w:r>
      <w:r>
        <w:fldChar w:fldCharType="separate"/>
      </w:r>
      <w:r>
        <w:rPr>
          <w:rStyle w:val="33"/>
          <w:rFonts w:hint="eastAsia"/>
          <w14:scene3d>
            <w14:lightRig w14:rig="threePt" w14:dir="t">
              <w14:rot w14:lat="0" w14:lon="0" w14:rev="0"/>
            </w14:lightRig>
          </w14:scene3d>
        </w:rPr>
        <w:t>9.2</w:t>
      </w:r>
      <w:r>
        <w:rPr>
          <w:rStyle w:val="33"/>
          <w14:scene3d>
            <w14:lightRig w14:rig="threePt" w14:dir="t">
              <w14:rot w14:lat="0" w14:lon="0" w14:rev="0"/>
            </w14:lightRig>
          </w14:scene3d>
        </w:rPr>
        <w:t xml:space="preserve"> </w:t>
      </w:r>
      <w:r>
        <w:rPr>
          <w:rStyle w:val="33"/>
          <w:rFonts w:hint="eastAsia"/>
        </w:rPr>
        <w:t xml:space="preserve"> 危险源控制</w:t>
      </w:r>
      <w:r>
        <w:rPr>
          <w:rFonts w:hint="eastAsia"/>
        </w:rPr>
        <w:tab/>
      </w:r>
      <w:r>
        <w:rPr>
          <w:rFonts w:hint="eastAsia"/>
        </w:rPr>
        <w:fldChar w:fldCharType="begin"/>
      </w:r>
      <w:r>
        <w:rPr>
          <w:rFonts w:hint="eastAsia"/>
        </w:rPr>
        <w:instrText xml:space="preserve"> </w:instrText>
      </w:r>
      <w:r>
        <w:instrText xml:space="preserve">PAGEREF _Toc224821803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18A4F1DC">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"_Toc224821804" </w:instrText>
      </w:r>
      <w:r>
        <w:fldChar w:fldCharType="separate"/>
      </w:r>
      <w:r>
        <w:rPr>
          <w:rStyle w:val="33"/>
          <w:rFonts w:hint="eastAsia"/>
          <w14:scene3d>
            <w14:lightRig w14:rig="threePt" w14:dir="t">
              <w14:rot w14:lat="0" w14:lon="0" w14:rev="0"/>
            </w14:lightRig>
          </w14:scene3d>
        </w:rPr>
        <w:t>9.3</w:t>
      </w:r>
      <w:r>
        <w:rPr>
          <w:rStyle w:val="33"/>
          <w14:scene3d>
            <w14:lightRig w14:rig="threePt" w14:dir="t">
              <w14:rot w14:lat="0" w14:lon="0" w14:rev="0"/>
            </w14:lightRig>
          </w14:scene3d>
        </w:rPr>
        <w:t xml:space="preserve"> </w:t>
      </w:r>
      <w:r>
        <w:rPr>
          <w:rStyle w:val="33"/>
          <w:rFonts w:hint="eastAsia"/>
        </w:rPr>
        <w:t xml:space="preserve"> 环境保护措施</w:t>
      </w:r>
      <w:r>
        <w:rPr>
          <w:rFonts w:hint="eastAsia"/>
        </w:rPr>
        <w:tab/>
      </w:r>
      <w:r>
        <w:rPr>
          <w:rFonts w:hint="eastAsia"/>
        </w:rPr>
        <w:fldChar w:fldCharType="begin"/>
      </w:r>
      <w:r>
        <w:rPr>
          <w:rFonts w:hint="eastAsia"/>
        </w:rPr>
        <w:instrText xml:space="preserve"> </w:instrText>
      </w:r>
      <w:r>
        <w:instrText xml:space="preserve">PAGEREF _Toc224821804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0ADF32C8">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"_Toc224821805" </w:instrText>
      </w:r>
      <w:r>
        <w:fldChar w:fldCharType="separate"/>
      </w:r>
      <w:r>
        <w:rPr>
          <w:rStyle w:val="33"/>
          <w:rFonts w:hint="eastAsia"/>
          <w14:scene3d>
            <w14:lightRig w14:rig="threePt" w14:dir="t">
              <w14:rot w14:lat="0" w14:lon="0" w14:rev="0"/>
            </w14:lightRig>
          </w14:scene3d>
        </w:rPr>
        <w:t>9.4</w:t>
      </w:r>
      <w:r>
        <w:rPr>
          <w:rStyle w:val="33"/>
          <w14:scene3d>
            <w14:lightRig w14:rig="threePt" w14:dir="t">
              <w14:rot w14:lat="0" w14:lon="0" w14:rev="0"/>
            </w14:lightRig>
          </w14:scene3d>
        </w:rPr>
        <w:t xml:space="preserve"> </w:t>
      </w:r>
      <w:r>
        <w:rPr>
          <w:rStyle w:val="33"/>
          <w:rFonts w:hint="eastAsia"/>
        </w:rPr>
        <w:t xml:space="preserve"> 环境监测与应急</w:t>
      </w:r>
      <w:r>
        <w:rPr>
          <w:rFonts w:hint="eastAsia"/>
        </w:rPr>
        <w:tab/>
      </w:r>
      <w:r>
        <w:rPr>
          <w:rFonts w:hint="eastAsia"/>
        </w:rPr>
        <w:fldChar w:fldCharType="begin"/>
      </w:r>
      <w:r>
        <w:rPr>
          <w:rFonts w:hint="eastAsia"/>
        </w:rPr>
        <w:instrText xml:space="preserve"> </w:instrText>
      </w:r>
      <w:r>
        <w:instrText xml:space="preserve">PAGEREF _Toc224821805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2FABDC6D">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"_Toc224821806" </w:instrText>
      </w:r>
      <w:r>
        <w:fldChar w:fldCharType="separate"/>
      </w:r>
      <w:r>
        <w:rPr>
          <w:rStyle w:val="33"/>
          <w:rFonts w:hint="eastAsia"/>
        </w:rPr>
        <w:t>10</w:t>
      </w:r>
      <w:r>
        <w:rPr>
          <w:rStyle w:val="33"/>
        </w:rPr>
        <w:t xml:space="preserve"> </w:t>
      </w:r>
      <w:r>
        <w:rPr>
          <w:rStyle w:val="33"/>
          <w:rFonts w:hint="eastAsia"/>
        </w:rPr>
        <w:t xml:space="preserve"> 信息化管理</w:t>
      </w:r>
      <w:r>
        <w:rPr>
          <w:rFonts w:hint="eastAsia"/>
        </w:rPr>
        <w:tab/>
      </w:r>
      <w:r>
        <w:rPr>
          <w:rFonts w:hint="eastAsia"/>
        </w:rPr>
        <w:fldChar w:fldCharType="begin"/>
      </w:r>
      <w:r>
        <w:rPr>
          <w:rFonts w:hint="eastAsia"/>
        </w:rPr>
        <w:instrText xml:space="preserve"> </w:instrText>
      </w:r>
      <w:r>
        <w:instrText xml:space="preserve">PAGEREF _Toc224821806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6F341D28">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"_Toc224821807" </w:instrText>
      </w:r>
      <w:r>
        <w:fldChar w:fldCharType="separate"/>
      </w:r>
      <w:r>
        <w:rPr>
          <w:rStyle w:val="33"/>
          <w:rFonts w:hint="eastAsia"/>
          <w14:scene3d>
            <w14:lightRig w14:rig="threePt" w14:dir="t">
              <w14:rot w14:lat="0" w14:lon="0" w14:rev="0"/>
            </w14:lightRig>
          </w14:scene3d>
        </w:rPr>
        <w:t>10.1</w:t>
      </w:r>
      <w:r>
        <w:rPr>
          <w:rStyle w:val="33"/>
          <w14:scene3d>
            <w14:lightRig w14:rig="threePt" w14:dir="t">
              <w14:rot w14:lat="0" w14:lon="0" w14:rev="0"/>
            </w14:lightRig>
          </w14:scene3d>
        </w:rPr>
        <w:t xml:space="preserve"> </w:t>
      </w:r>
      <w:r>
        <w:rPr>
          <w:rStyle w:val="33"/>
          <w:rFonts w:hint="eastAsia"/>
        </w:rPr>
        <w:t xml:space="preserve"> 一般规定</w:t>
      </w:r>
      <w:r>
        <w:rPr>
          <w:rFonts w:hint="eastAsia"/>
        </w:rPr>
        <w:tab/>
      </w:r>
      <w:r>
        <w:rPr>
          <w:rFonts w:hint="eastAsia"/>
        </w:rPr>
        <w:fldChar w:fldCharType="begin"/>
      </w:r>
      <w:r>
        <w:rPr>
          <w:rFonts w:hint="eastAsia"/>
        </w:rPr>
        <w:instrText xml:space="preserve"> </w:instrText>
      </w:r>
      <w:r>
        <w:instrText xml:space="preserve">PAGEREF _Toc224821807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3D4F8663">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"_Toc224821808" </w:instrText>
      </w:r>
      <w:r>
        <w:fldChar w:fldCharType="separate"/>
      </w:r>
      <w:r>
        <w:rPr>
          <w:rStyle w:val="33"/>
          <w:rFonts w:hint="eastAsia"/>
          <w14:scene3d>
            <w14:lightRig w14:rig="threePt" w14:dir="t">
              <w14:rot w14:lat="0" w14:lon="0" w14:rev="0"/>
            </w14:lightRig>
          </w14:scene3d>
        </w:rPr>
        <w:t>10.2</w:t>
      </w:r>
      <w:r>
        <w:rPr>
          <w:rStyle w:val="33"/>
          <w14:scene3d>
            <w14:lightRig w14:rig="threePt" w14:dir="t">
              <w14:rot w14:lat="0" w14:lon="0" w14:rev="0"/>
            </w14:lightRig>
          </w14:scene3d>
        </w:rPr>
        <w:t xml:space="preserve"> </w:t>
      </w:r>
      <w:r>
        <w:rPr>
          <w:rStyle w:val="33"/>
          <w:rFonts w:hint="eastAsia"/>
        </w:rPr>
        <w:t xml:space="preserve"> BIM技术应用</w:t>
      </w:r>
      <w:r>
        <w:rPr>
          <w:rFonts w:hint="eastAsia"/>
        </w:rPr>
        <w:tab/>
      </w:r>
      <w:r>
        <w:rPr>
          <w:rFonts w:hint="eastAsia"/>
        </w:rPr>
        <w:fldChar w:fldCharType="begin"/>
      </w:r>
      <w:r>
        <w:rPr>
          <w:rFonts w:hint="eastAsia"/>
        </w:rPr>
        <w:instrText xml:space="preserve"> </w:instrText>
      </w:r>
      <w:r>
        <w:instrText xml:space="preserve">PAGEREF _Toc224821808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2EE34B5F">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"_Toc224821809" </w:instrText>
      </w:r>
      <w:r>
        <w:fldChar w:fldCharType="separate"/>
      </w:r>
      <w:r>
        <w:rPr>
          <w:rStyle w:val="33"/>
          <w:rFonts w:hint="eastAsia"/>
        </w:rPr>
        <w:t>附录A（规范性）</w:t>
      </w:r>
      <w:r>
        <w:rPr>
          <w:rStyle w:val="33"/>
        </w:rPr>
        <w:t xml:space="preserve"> </w:t>
      </w:r>
      <w:r>
        <w:rPr>
          <w:rStyle w:val="33"/>
          <w:rFonts w:hint="eastAsia"/>
        </w:rPr>
        <w:t xml:space="preserve"> 高效连接节点构造要求</w:t>
      </w:r>
      <w:r>
        <w:rPr>
          <w:rFonts w:hint="eastAsia"/>
        </w:rPr>
        <w:tab/>
      </w:r>
      <w:r>
        <w:rPr>
          <w:rFonts w:hint="eastAsia"/>
        </w:rPr>
        <w:fldChar w:fldCharType="begin"/>
      </w:r>
      <w:r>
        <w:rPr>
          <w:rFonts w:hint="eastAsia"/>
        </w:rPr>
        <w:instrText xml:space="preserve"> </w:instrText>
      </w:r>
      <w:r>
        <w:instrText xml:space="preserve">PAGEREF _Toc224821809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60CF5952">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"_Toc224821810" </w:instrText>
      </w:r>
      <w:r>
        <w:fldChar w:fldCharType="separate"/>
      </w:r>
      <w:r>
        <w:rPr>
          <w:rStyle w:val="33"/>
          <w:rFonts w:hint="eastAsia"/>
        </w:rPr>
        <w:t>A.1</w:t>
      </w:r>
      <w:r>
        <w:rPr>
          <w:rStyle w:val="33"/>
        </w:rPr>
        <w:t xml:space="preserve"> </w:t>
      </w:r>
      <w:r>
        <w:rPr>
          <w:rStyle w:val="33"/>
          <w:rFonts w:hint="eastAsia"/>
        </w:rPr>
        <w:t xml:space="preserve"> 钢筋套筒灌浆连接</w:t>
      </w:r>
      <w:r>
        <w:rPr>
          <w:rFonts w:hint="eastAsia"/>
        </w:rPr>
        <w:tab/>
      </w:r>
      <w:r>
        <w:rPr>
          <w:rFonts w:hint="eastAsia"/>
        </w:rPr>
        <w:fldChar w:fldCharType="begin"/>
      </w:r>
      <w:r>
        <w:rPr>
          <w:rFonts w:hint="eastAsia"/>
        </w:rPr>
        <w:instrText xml:space="preserve"> </w:instrText>
      </w:r>
      <w:r>
        <w:instrText xml:space="preserve">PAGEREF _Toc224821810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0DA28884">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"_Toc224821811" </w:instrText>
      </w:r>
      <w:r>
        <w:fldChar w:fldCharType="separate"/>
      </w:r>
      <w:r>
        <w:rPr>
          <w:rStyle w:val="33"/>
          <w:rFonts w:hint="eastAsia"/>
        </w:rPr>
        <w:t>A.2</w:t>
      </w:r>
      <w:r>
        <w:rPr>
          <w:rStyle w:val="33"/>
        </w:rPr>
        <w:t xml:space="preserve"> </w:t>
      </w:r>
      <w:r>
        <w:rPr>
          <w:rStyle w:val="33"/>
          <w:rFonts w:hint="eastAsia"/>
        </w:rPr>
        <w:t xml:space="preserve"> 高强螺栓连接</w:t>
      </w:r>
      <w:r>
        <w:rPr>
          <w:rFonts w:hint="eastAsia"/>
        </w:rPr>
        <w:tab/>
      </w:r>
      <w:r>
        <w:rPr>
          <w:rFonts w:hint="eastAsia"/>
        </w:rPr>
        <w:fldChar w:fldCharType="begin"/>
      </w:r>
      <w:r>
        <w:rPr>
          <w:rFonts w:hint="eastAsia"/>
        </w:rPr>
        <w:instrText xml:space="preserve"> </w:instrText>
      </w:r>
      <w:r>
        <w:instrText xml:space="preserve">PAGEREF _Toc224821811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2F5BEEBF">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"_Toc224821812" </w:instrText>
      </w:r>
      <w:r>
        <w:fldChar w:fldCharType="separate"/>
      </w:r>
      <w:r>
        <w:rPr>
          <w:rStyle w:val="33"/>
          <w:rFonts w:hint="eastAsia"/>
        </w:rPr>
        <w:t>A.3</w:t>
      </w:r>
      <w:r>
        <w:rPr>
          <w:rStyle w:val="33"/>
        </w:rPr>
        <w:t xml:space="preserve"> </w:t>
      </w:r>
      <w:r>
        <w:rPr>
          <w:rStyle w:val="33"/>
          <w:rFonts w:hint="eastAsia"/>
        </w:rPr>
        <w:t xml:space="preserve"> 后浇混凝土连接</w:t>
      </w:r>
      <w:r>
        <w:rPr>
          <w:rFonts w:hint="eastAsia"/>
        </w:rPr>
        <w:tab/>
      </w:r>
      <w:r>
        <w:rPr>
          <w:rFonts w:hint="eastAsia"/>
        </w:rPr>
        <w:fldChar w:fldCharType="begin"/>
      </w:r>
      <w:r>
        <w:rPr>
          <w:rFonts w:hint="eastAsia"/>
        </w:rPr>
        <w:instrText xml:space="preserve"> </w:instrText>
      </w:r>
      <w:r>
        <w:instrText xml:space="preserve">PAGEREF _Toc224821812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74E2D11A">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"_Toc224821813" </w:instrText>
      </w:r>
      <w:r>
        <w:fldChar w:fldCharType="separate"/>
      </w:r>
      <w:r>
        <w:rPr>
          <w:rStyle w:val="33"/>
          <w:rFonts w:hint="eastAsia"/>
        </w:rPr>
        <w:t>A.4</w:t>
      </w:r>
      <w:r>
        <w:rPr>
          <w:rStyle w:val="33"/>
        </w:rPr>
        <w:t xml:space="preserve"> </w:t>
      </w:r>
      <w:r>
        <w:rPr>
          <w:rStyle w:val="33"/>
          <w:rFonts w:hint="eastAsia"/>
        </w:rPr>
        <w:t xml:space="preserve"> 浆锚搭接连接</w:t>
      </w:r>
      <w:r>
        <w:rPr>
          <w:rFonts w:hint="eastAsia"/>
        </w:rPr>
        <w:tab/>
      </w:r>
      <w:r>
        <w:rPr>
          <w:rFonts w:hint="eastAsia"/>
        </w:rPr>
        <w:fldChar w:fldCharType="begin"/>
      </w:r>
      <w:r>
        <w:rPr>
          <w:rFonts w:hint="eastAsia"/>
        </w:rPr>
        <w:instrText xml:space="preserve"> </w:instrText>
      </w:r>
      <w:r>
        <w:instrText xml:space="preserve">PAGEREF _Toc224821813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3C7CC9BB">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"_Toc224821814" </w:instrText>
      </w:r>
      <w:r>
        <w:fldChar w:fldCharType="separate"/>
      </w:r>
      <w:r>
        <w:rPr>
          <w:rStyle w:val="33"/>
          <w:rFonts w:hint="eastAsia"/>
        </w:rPr>
        <w:t>附录B（资料性）</w:t>
      </w:r>
      <w:r>
        <w:rPr>
          <w:rStyle w:val="33"/>
        </w:rPr>
        <w:t xml:space="preserve"> </w:t>
      </w:r>
      <w:r>
        <w:rPr>
          <w:rStyle w:val="33"/>
          <w:rFonts w:hint="eastAsia"/>
        </w:rPr>
        <w:t xml:space="preserve"> 检验记录与归档要求</w:t>
      </w:r>
      <w:r>
        <w:rPr>
          <w:rFonts w:hint="eastAsia"/>
        </w:rPr>
        <w:tab/>
      </w:r>
      <w:r>
        <w:rPr>
          <w:rFonts w:hint="eastAsia"/>
        </w:rPr>
        <w:fldChar w:fldCharType="begin"/>
      </w:r>
      <w:r>
        <w:rPr>
          <w:rFonts w:hint="eastAsia"/>
        </w:rPr>
        <w:instrText xml:space="preserve"> </w:instrText>
      </w:r>
      <w:r>
        <w:instrText xml:space="preserve">PAGEREF _Toc224821814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1A53EB5E">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"_Toc224821815" </w:instrText>
      </w:r>
      <w:r>
        <w:fldChar w:fldCharType="separate"/>
      </w:r>
      <w:r>
        <w:rPr>
          <w:rStyle w:val="33"/>
          <w:rFonts w:hint="eastAsia"/>
        </w:rPr>
        <w:t>B.1</w:t>
      </w:r>
      <w:r>
        <w:rPr>
          <w:rStyle w:val="33"/>
        </w:rPr>
        <w:t xml:space="preserve"> </w:t>
      </w:r>
      <w:r>
        <w:rPr>
          <w:rStyle w:val="33"/>
          <w:rFonts w:hint="eastAsia"/>
        </w:rPr>
        <w:t xml:space="preserve"> 核心检验记录表</w:t>
      </w:r>
      <w:r>
        <w:rPr>
          <w:rFonts w:hint="eastAsia"/>
        </w:rPr>
        <w:tab/>
      </w:r>
      <w:r>
        <w:rPr>
          <w:rFonts w:hint="eastAsia"/>
        </w:rPr>
        <w:fldChar w:fldCharType="begin"/>
      </w:r>
      <w:r>
        <w:rPr>
          <w:rFonts w:hint="eastAsia"/>
        </w:rPr>
        <w:instrText xml:space="preserve"> </w:instrText>
      </w:r>
      <w:r>
        <w:instrText xml:space="preserve">PAGEREF _Toc224821815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20794639">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"_Toc224821816" </w:instrText>
      </w:r>
      <w:r>
        <w:fldChar w:fldCharType="separate"/>
      </w:r>
      <w:r>
        <w:rPr>
          <w:rStyle w:val="33"/>
          <w:rFonts w:hint="eastAsia"/>
        </w:rPr>
        <w:t>B.2</w:t>
      </w:r>
      <w:r>
        <w:rPr>
          <w:rStyle w:val="33"/>
        </w:rPr>
        <w:t xml:space="preserve"> </w:t>
      </w:r>
      <w:r>
        <w:rPr>
          <w:rStyle w:val="33"/>
          <w:rFonts w:hint="eastAsia"/>
        </w:rPr>
        <w:t xml:space="preserve"> 资料归档要求</w:t>
      </w:r>
      <w:r>
        <w:rPr>
          <w:rFonts w:hint="eastAsia"/>
        </w:rPr>
        <w:tab/>
      </w:r>
      <w:r>
        <w:rPr>
          <w:rFonts w:hint="eastAsia"/>
        </w:rPr>
        <w:fldChar w:fldCharType="begin"/>
      </w:r>
      <w:r>
        <w:rPr>
          <w:rFonts w:hint="eastAsia"/>
        </w:rPr>
        <w:instrText xml:space="preserve"> </w:instrText>
      </w:r>
      <w:r>
        <w:instrText xml:space="preserve">PAGEREF _Toc224821816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2DF798D2">
      <w:pPr>
        <w:pStyle w:val="92"/>
        <w:spacing w:after="36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21"/>
    <w:p w14:paraId="240E5A90">
      <w:pPr>
        <w:pStyle w:val="90"/>
        <w:spacing w:before="900" w:after="360"/>
      </w:pPr>
      <w:bookmarkStart w:id="22" w:name="_Toc224821771"/>
      <w:bookmarkStart w:id="23" w:name="BookMark2"/>
      <w:r>
        <w:rPr>
          <w:rFonts w:hint="eastAsia"/>
          <w:spacing w:val="320"/>
        </w:rPr>
        <w:t>前</w:t>
      </w:r>
      <w:r>
        <w:rPr>
          <w:rFonts w:hint="eastAsia"/>
        </w:rPr>
        <w:t>言</w:t>
      </w:r>
      <w:bookmarkEnd w:id="22"/>
    </w:p>
    <w:p w14:paraId="11C78B78">
      <w:pPr>
        <w:pStyle w:val="57"/>
        <w:ind w:firstLine="420"/>
      </w:pPr>
      <w:r>
        <w:rPr>
          <w:rFonts w:hint="eastAsia"/>
        </w:rPr>
        <w:t>本文件按照GB/T 1.1—2020《标准化工作导则  第1部分：标准化文件的结构和起草规则》的规定起草。</w:t>
      </w:r>
    </w:p>
    <w:p w14:paraId="1807D973">
      <w:pPr>
        <w:pStyle w:val="57"/>
        <w:ind w:firstLine="420"/>
      </w:pPr>
      <w:r>
        <w:rPr>
          <w:rFonts w:hint="eastAsia" w:hAnsi="宋体"/>
        </w:rPr>
        <w:t>请注意本文件的某些内容可能涉及专利。本文件的发布机构不承担识别专利的责任。</w:t>
      </w:r>
    </w:p>
    <w:p w14:paraId="2A2E2CF2">
      <w:pPr>
        <w:pStyle w:val="57"/>
        <w:ind w:firstLine="420"/>
      </w:pPr>
      <w:r>
        <w:rPr>
          <w:rFonts w:hint="eastAsia"/>
        </w:rPr>
        <w:t>本文件由浙江浙景建设发展有限公司提出。</w:t>
      </w:r>
    </w:p>
    <w:p w14:paraId="4F06130B">
      <w:pPr>
        <w:pStyle w:val="57"/>
        <w:ind w:firstLine="420"/>
      </w:pPr>
      <w:r>
        <w:rPr>
          <w:rFonts w:hint="eastAsia"/>
        </w:rPr>
        <w:t>本文件由</w:t>
      </w:r>
      <w:bookmarkStart w:id="24" w:name="_Hlk224809145"/>
      <w:r>
        <w:rPr>
          <w:rFonts w:hint="eastAsia"/>
        </w:rPr>
        <w:t>中国国际贸易促进委员会建设行业分会</w:t>
      </w:r>
      <w:bookmarkEnd w:id="24"/>
      <w:r>
        <w:rPr>
          <w:rFonts w:hint="eastAsia"/>
        </w:rPr>
        <w:t>归口。</w:t>
      </w:r>
    </w:p>
    <w:p w14:paraId="4C41E3F7">
      <w:pPr>
        <w:pStyle w:val="57"/>
        <w:ind w:firstLine="420"/>
        <w:rPr>
          <w:rFonts w:hint="eastAsia" w:eastAsia="宋体"/>
          <w:lang w:eastAsia="zh-CN"/>
        </w:rPr>
      </w:pPr>
      <w:r>
        <w:rPr>
          <w:rFonts w:hint="eastAsia"/>
        </w:rPr>
        <w:t>本文件起草单位：浙江浙景建设发展有限公司</w:t>
      </w:r>
      <w:r>
        <w:rPr>
          <w:rFonts w:hint="eastAsia"/>
          <w:lang w:eastAsia="zh-CN"/>
        </w:rPr>
        <w:t>、中交四航局第一工程有限公司、河北晶通建筑科技股份有限公司、中铁建设集团有限公司、四川省第四建筑有限公司、中铁第六勘察设计院集团有限公司、新疆三联工程建设有限责任公司、新疆兵团城建集团有限公司、四川汇锦建筑工程设计有限公司、重庆何方城市规划设计有限公司、中国五洲工程设计集团有限公司。</w:t>
      </w:r>
    </w:p>
    <w:p w14:paraId="6CFD231A">
      <w:pPr>
        <w:pStyle w:val="57"/>
        <w:ind w:firstLine="420"/>
        <w:rPr>
          <w:rFonts w:hint="eastAsia"/>
          <w:lang w:eastAsia="zh-CN"/>
        </w:rPr>
      </w:pPr>
      <w:r>
        <w:rPr>
          <w:rFonts w:hint="eastAsia"/>
        </w:rPr>
        <w:t>本文件主要起草人：董琦荣</w:t>
      </w:r>
      <w:r>
        <w:rPr>
          <w:rFonts w:hint="eastAsia"/>
          <w:lang w:eastAsia="zh-CN"/>
        </w:rPr>
        <w:t>、邓云、姜凯宁、杨晓奇、罗忠余、王志远、黄国忠、王燕超、许巍、游锐涵、章志慧、邢永辉、周勇全、刘月卫、郭强、张丽娜、丁长新、陈后庚、王成、邹洪伟、曾建萍、胡潇、黄争、朱洪斌、黄泉文、吴立才、杨岸青、徐卫军、胡志华、纪雪深、钱淑慧、周峥嵘、蔡昌茂、</w:t>
      </w:r>
    </w:p>
    <w:p w14:paraId="0B9EC81B">
      <w:pPr>
        <w:pStyle w:val="57"/>
        <w:ind w:left="0" w:leftChars="0" w:firstLine="0" w:firstLineChars="0"/>
        <w:rPr>
          <w:rFonts w:hint="eastAsia" w:eastAsia="宋体"/>
          <w:lang w:eastAsia="zh-CN"/>
        </w:rPr>
        <w:sectPr>
          <w:pgSz w:w="11906" w:h="16838"/>
          <w:pgMar w:top="1928" w:right="1134" w:bottom="1134" w:left="1134" w:header="1418" w:footer="1134" w:gutter="284"/>
          <w:pgNumType w:fmt="upperRoman"/>
          <w:cols w:space="425" w:num="1"/>
          <w:formProt w:val="0"/>
          <w:docGrid w:linePitch="312" w:charSpace="0"/>
        </w:sectPr>
      </w:pPr>
      <w:r>
        <w:rPr>
          <w:rFonts w:hint="eastAsia"/>
          <w:lang w:eastAsia="zh-CN"/>
        </w:rPr>
        <w:t>沈闻杰、雍宇伟、王莉、马永安</w:t>
      </w:r>
      <w:bookmarkStart w:id="126" w:name="_GoBack"/>
      <w:bookmarkEnd w:id="126"/>
      <w:r>
        <w:rPr>
          <w:rFonts w:hint="eastAsia"/>
          <w:lang w:eastAsia="zh-CN"/>
        </w:rPr>
        <w:t>、</w:t>
      </w:r>
      <w:r>
        <w:rPr>
          <w:rFonts w:hint="eastAsia"/>
          <w:lang w:val="en-US" w:eastAsia="zh-CN"/>
        </w:rPr>
        <w:t>焦海营、王智辉、王光敏</w:t>
      </w:r>
      <w:r>
        <w:rPr>
          <w:rFonts w:hint="eastAsia"/>
          <w:lang w:eastAsia="zh-CN"/>
        </w:rPr>
        <w:t>。</w:t>
      </w:r>
    </w:p>
    <w:bookmarkEnd w:id="23"/>
    <w:p w14:paraId="4396B151">
      <w:pPr>
        <w:spacing w:line="20" w:lineRule="exact"/>
        <w:jc w:val="center"/>
        <w:rPr>
          <w:rFonts w:hint="eastAsia" w:ascii="黑体" w:hAnsi="黑体" w:eastAsia="黑体"/>
          <w:sz w:val="32"/>
          <w:szCs w:val="32"/>
        </w:rPr>
      </w:pPr>
      <w:bookmarkStart w:id="25" w:name="BookMark4"/>
    </w:p>
    <w:p w14:paraId="071D39B6">
      <w:pPr>
        <w:spacing w:line="20" w:lineRule="exact"/>
        <w:jc w:val="center"/>
        <w:rPr>
          <w:rFonts w:hint="eastAsia" w:ascii="黑体" w:hAnsi="黑体" w:eastAsia="黑体"/>
          <w:sz w:val="32"/>
          <w:szCs w:val="32"/>
        </w:rPr>
      </w:pPr>
    </w:p>
    <w:sdt>
      <w:sdtPr>
        <w:tag w:val="NEW_STAND_NAME"/>
        <w:id w:val="595910757"/>
        <w:lock w:val="sdtLocked"/>
        <w:placeholder>
          <w:docPart w:val="46319B3F34C44C50B8224FB5CFC3FA6B"/>
        </w:placeholder>
      </w:sdtPr>
      <w:sdtContent>
        <w:p w14:paraId="073BA0F6">
          <w:pPr>
            <w:pStyle w:val="178"/>
            <w:spacing w:before="2" w:beforeLines="1" w:after="528" w:afterLines="220"/>
            <w:rPr>
              <w:rFonts w:hint="eastAsia"/>
            </w:rPr>
          </w:pPr>
          <w:bookmarkStart w:id="26" w:name="NEW_STAND_NAME"/>
          <w:r>
            <w:rPr>
              <w:rFonts w:hint="eastAsia"/>
            </w:rPr>
            <w:t>装配式混凝土结构高效连接技术规程</w:t>
          </w:r>
        </w:p>
      </w:sdtContent>
    </w:sdt>
    <w:bookmarkEnd w:id="26"/>
    <w:p w14:paraId="159AA66E">
      <w:pPr>
        <w:pStyle w:val="105"/>
        <w:spacing w:before="240" w:after="240"/>
      </w:pPr>
      <w:bookmarkStart w:id="27" w:name="_Toc97192964"/>
      <w:bookmarkStart w:id="28" w:name="_Toc17233333"/>
      <w:bookmarkStart w:id="29" w:name="_Toc26986771"/>
      <w:bookmarkStart w:id="30" w:name="_Toc26986530"/>
      <w:bookmarkStart w:id="31" w:name="_Toc26648465"/>
      <w:bookmarkStart w:id="32" w:name="_Toc26718930"/>
      <w:bookmarkStart w:id="33" w:name="_Toc17233325"/>
      <w:bookmarkStart w:id="34" w:name="_Toc24884218"/>
      <w:bookmarkStart w:id="35" w:name="_Toc194879304"/>
      <w:bookmarkStart w:id="36" w:name="_Toc24884211"/>
      <w:bookmarkStart w:id="37" w:name="_Toc224821772"/>
      <w:r>
        <w:rPr>
          <w:rFonts w:hint="eastAsia"/>
        </w:rPr>
        <w:t>范围</w:t>
      </w:r>
      <w:bookmarkEnd w:id="27"/>
      <w:bookmarkEnd w:id="28"/>
      <w:bookmarkEnd w:id="29"/>
      <w:bookmarkEnd w:id="30"/>
      <w:bookmarkEnd w:id="31"/>
      <w:bookmarkEnd w:id="32"/>
      <w:bookmarkEnd w:id="33"/>
      <w:bookmarkEnd w:id="34"/>
      <w:bookmarkEnd w:id="35"/>
      <w:bookmarkEnd w:id="36"/>
      <w:bookmarkEnd w:id="37"/>
    </w:p>
    <w:p w14:paraId="68EF921D">
      <w:pPr>
        <w:pStyle w:val="57"/>
        <w:ind w:firstLine="420"/>
      </w:pPr>
      <w:bookmarkStart w:id="38" w:name="_Toc17233334"/>
      <w:bookmarkStart w:id="39" w:name="_Toc17233326"/>
      <w:bookmarkStart w:id="40" w:name="_Toc24884219"/>
      <w:bookmarkStart w:id="41" w:name="_Toc24884212"/>
      <w:bookmarkStart w:id="42" w:name="_Toc26648466"/>
      <w:r>
        <w:rPr>
          <w:rFonts w:hint="eastAsia"/>
        </w:rPr>
        <w:t>本标准规定了装配式混凝土结构高效连接技术的术语和定义、材料要求、设计原则、施工工艺、质量检验与验收、信息化管理等内容。</w:t>
      </w:r>
    </w:p>
    <w:p w14:paraId="49C55FAA">
      <w:pPr>
        <w:pStyle w:val="57"/>
        <w:ind w:firstLine="420"/>
      </w:pPr>
      <w:r>
        <w:rPr>
          <w:rFonts w:hint="eastAsia"/>
        </w:rPr>
        <w:t>本标准适用于工业与民用建筑中采用装配式混凝土结构的高效连接技术应用，包括但不限于钢筋套筒灌浆连接、螺栓连接、后浇混凝土连接等。</w:t>
      </w:r>
    </w:p>
    <w:p w14:paraId="33F3E3A3">
      <w:pPr>
        <w:pStyle w:val="105"/>
        <w:spacing w:before="240" w:after="240"/>
      </w:pPr>
      <w:bookmarkStart w:id="43" w:name="_Toc224821773"/>
      <w:bookmarkStart w:id="44" w:name="_Toc194879305"/>
      <w:bookmarkStart w:id="45" w:name="_Toc26718931"/>
      <w:bookmarkStart w:id="46" w:name="_Toc26986772"/>
      <w:bookmarkStart w:id="47" w:name="_Toc97192965"/>
      <w:bookmarkStart w:id="48" w:name="_Toc26986531"/>
      <w:r>
        <w:rPr>
          <w:rFonts w:hint="eastAsia"/>
        </w:rPr>
        <w:t>规范性引用文件</w:t>
      </w:r>
      <w:bookmarkEnd w:id="38"/>
      <w:bookmarkEnd w:id="39"/>
      <w:bookmarkEnd w:id="40"/>
      <w:bookmarkEnd w:id="41"/>
      <w:bookmarkEnd w:id="42"/>
      <w:bookmarkEnd w:id="43"/>
      <w:bookmarkEnd w:id="44"/>
      <w:bookmarkEnd w:id="45"/>
      <w:bookmarkEnd w:id="46"/>
      <w:bookmarkEnd w:id="47"/>
      <w:bookmarkEnd w:id="48"/>
    </w:p>
    <w:sdt>
      <w:sdtPr>
        <w:rPr>
          <w:rFonts w:hint="eastAsia"/>
        </w:rPr>
        <w:id w:val="715848253"/>
        <w:placeholder>
          <w:docPart w:val="43AA53E145F246B7A1A0D1D9E4380EB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2E70A6C1">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2B9F8FB">
      <w:pPr>
        <w:pStyle w:val="57"/>
        <w:ind w:firstLine="420"/>
      </w:pPr>
      <w:r>
        <w:t>GB 1499.2</w:t>
      </w:r>
      <w:r>
        <w:rPr>
          <w:rFonts w:hint="eastAsia"/>
        </w:rPr>
        <w:t xml:space="preserve"> 钢筋混凝土用钢 第2部分：热轧带肋钢筋</w:t>
      </w:r>
    </w:p>
    <w:p w14:paraId="239177DF">
      <w:pPr>
        <w:pStyle w:val="57"/>
        <w:ind w:firstLine="420"/>
      </w:pPr>
      <w:r>
        <w:t>GB/T 3098.1</w:t>
      </w:r>
      <w:r>
        <w:rPr>
          <w:rFonts w:hint="eastAsia"/>
        </w:rPr>
        <w:t xml:space="preserve"> 紧固件机械性能 螺栓、螺钉和螺柱</w:t>
      </w:r>
    </w:p>
    <w:p w14:paraId="1EB072D1">
      <w:pPr>
        <w:pStyle w:val="57"/>
        <w:ind w:firstLine="420"/>
      </w:pPr>
      <w:r>
        <w:t>GB/T 50476</w:t>
      </w:r>
      <w:r>
        <w:rPr>
          <w:rFonts w:hint="eastAsia"/>
        </w:rPr>
        <w:t xml:space="preserve"> 混凝土结构耐久性设计标准</w:t>
      </w:r>
    </w:p>
    <w:p w14:paraId="28D7EABC">
      <w:pPr>
        <w:pStyle w:val="57"/>
        <w:ind w:firstLine="420"/>
      </w:pPr>
      <w:r>
        <w:rPr>
          <w:rFonts w:hint="eastAsia"/>
        </w:rPr>
        <w:t>GB 50666 混凝土结构工程施工规范</w:t>
      </w:r>
    </w:p>
    <w:p w14:paraId="16DDFD04">
      <w:pPr>
        <w:pStyle w:val="57"/>
        <w:ind w:firstLine="420"/>
      </w:pPr>
      <w:r>
        <w:rPr>
          <w:rFonts w:hint="eastAsia"/>
        </w:rPr>
        <w:t>GB 12348 工业企业厂界环境噪声排放标准</w:t>
      </w:r>
    </w:p>
    <w:p w14:paraId="7231765E">
      <w:pPr>
        <w:pStyle w:val="57"/>
        <w:ind w:firstLine="420"/>
      </w:pPr>
      <w:r>
        <w:t>GB 5085.3</w:t>
      </w:r>
      <w:r>
        <w:rPr>
          <w:rFonts w:hint="eastAsia"/>
        </w:rPr>
        <w:t xml:space="preserve"> 危险废物鉴别标准 浸出毒性鉴别</w:t>
      </w:r>
    </w:p>
    <w:p w14:paraId="32D92694">
      <w:pPr>
        <w:pStyle w:val="57"/>
        <w:ind w:firstLine="420"/>
      </w:pPr>
      <w:r>
        <w:rPr>
          <w:rFonts w:hint="eastAsia"/>
        </w:rPr>
        <w:t>GB16297 大气污染物综合排放标准</w:t>
      </w:r>
    </w:p>
    <w:p w14:paraId="6E96E80F">
      <w:pPr>
        <w:pStyle w:val="57"/>
        <w:ind w:firstLine="420"/>
      </w:pPr>
      <w:r>
        <w:rPr>
          <w:rFonts w:hint="eastAsia"/>
        </w:rPr>
        <w:t>JGJ 107 钢筋机械连接技术规程</w:t>
      </w:r>
    </w:p>
    <w:p w14:paraId="2E5187A7">
      <w:pPr>
        <w:pStyle w:val="57"/>
        <w:ind w:firstLine="420"/>
      </w:pPr>
      <w:r>
        <w:rPr>
          <w:rFonts w:hint="eastAsia"/>
        </w:rPr>
        <w:t>JGJ/T 411 冲击回波法检测混凝土缺陷技术规程</w:t>
      </w:r>
    </w:p>
    <w:p w14:paraId="08CDE36B">
      <w:pPr>
        <w:pStyle w:val="57"/>
        <w:ind w:firstLine="420"/>
      </w:pPr>
      <w:r>
        <w:rPr>
          <w:rFonts w:hint="eastAsia"/>
        </w:rPr>
        <w:t>JG/T 408 钢筋连接用套筒灌浆料</w:t>
      </w:r>
    </w:p>
    <w:p w14:paraId="38656D0F">
      <w:pPr>
        <w:pStyle w:val="57"/>
        <w:ind w:firstLine="420"/>
      </w:pPr>
      <w:r>
        <w:rPr>
          <w:rFonts w:hint="eastAsia"/>
        </w:rPr>
        <w:t>JGJ 63 混凝土用水标准</w:t>
      </w:r>
    </w:p>
    <w:p w14:paraId="15A44949">
      <w:pPr>
        <w:pStyle w:val="57"/>
        <w:ind w:firstLine="420"/>
      </w:pPr>
      <w:r>
        <w:rPr>
          <w:rFonts w:hint="eastAsia"/>
        </w:rPr>
        <w:t>JGJ18 钢筋焊接及验收规程</w:t>
      </w:r>
    </w:p>
    <w:p w14:paraId="5D9A39DD">
      <w:pPr>
        <w:pStyle w:val="105"/>
        <w:spacing w:before="240" w:after="240"/>
      </w:pPr>
      <w:bookmarkStart w:id="49" w:name="_Toc194879306"/>
      <w:bookmarkStart w:id="50" w:name="_Toc224821774"/>
      <w:bookmarkStart w:id="51" w:name="_Toc97192966"/>
      <w:r>
        <w:rPr>
          <w:rFonts w:hint="eastAsia"/>
          <w:szCs w:val="21"/>
        </w:rPr>
        <w:t>术语和定义</w:t>
      </w:r>
      <w:bookmarkEnd w:id="49"/>
      <w:bookmarkEnd w:id="50"/>
      <w:bookmarkEnd w:id="51"/>
    </w:p>
    <w:sdt>
      <w:sdtPr>
        <w:id w:val="-1909835108"/>
        <w:placeholder>
          <w:docPart w:val="1A7E00D575BF4396B2D8EB2276A8558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0AAC3C2">
          <w:pPr>
            <w:pStyle w:val="57"/>
            <w:ind w:firstLine="420"/>
          </w:pPr>
          <w:bookmarkStart w:id="52" w:name="_Toc26986532"/>
          <w:bookmarkEnd w:id="52"/>
          <w:r>
            <w:t>下列术语和定义适用于本文件。</w:t>
          </w:r>
        </w:p>
      </w:sdtContent>
    </w:sdt>
    <w:p w14:paraId="32248F3E">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装配式混凝土结构</w:t>
      </w:r>
      <w:r>
        <w:rPr>
          <w:rFonts w:hint="eastAsia" w:ascii="黑体" w:hAnsi="黑体" w:eastAsia="黑体"/>
        </w:rPr>
        <w:t xml:space="preserve"> p</w:t>
      </w:r>
      <w:r>
        <w:rPr>
          <w:rFonts w:ascii="黑体" w:hAnsi="黑体" w:eastAsia="黑体"/>
        </w:rPr>
        <w:t xml:space="preserve">recast </w:t>
      </w:r>
      <w:r>
        <w:rPr>
          <w:rFonts w:hint="eastAsia" w:ascii="黑体" w:hAnsi="黑体" w:eastAsia="黑体"/>
        </w:rPr>
        <w:t>c</w:t>
      </w:r>
      <w:r>
        <w:rPr>
          <w:rFonts w:ascii="黑体" w:hAnsi="黑体" w:eastAsia="黑体"/>
        </w:rPr>
        <w:t xml:space="preserve">oncrete </w:t>
      </w:r>
      <w:r>
        <w:rPr>
          <w:rFonts w:hint="eastAsia" w:ascii="黑体" w:hAnsi="黑体" w:eastAsia="黑体"/>
        </w:rPr>
        <w:t>s</w:t>
      </w:r>
      <w:r>
        <w:rPr>
          <w:rFonts w:ascii="黑体" w:hAnsi="黑体" w:eastAsia="黑体"/>
        </w:rPr>
        <w:t>tructure</w:t>
      </w:r>
    </w:p>
    <w:p w14:paraId="33B506DF">
      <w:pPr>
        <w:pStyle w:val="57"/>
        <w:ind w:firstLine="420"/>
      </w:pPr>
      <w:r>
        <w:rPr>
          <w:rFonts w:hint="eastAsia"/>
        </w:rPr>
        <w:t>由工厂预制的混凝土构件（如梁、柱、墙、楼板等），通过可靠的连接技术在现场装配成整体，并满足建筑结构承载能力、刚度及耐久性要求的混凝土结构体系。其核心特征包括构件标准化、生产工业</w:t>
      </w:r>
      <w:r>
        <w:br w:type="textWrapping"/>
      </w:r>
      <w:r>
        <w:rPr>
          <w:rFonts w:hint="eastAsia"/>
        </w:rPr>
        <w:t>化、施工装配化和管理信息化。</w:t>
      </w:r>
    </w:p>
    <w:p w14:paraId="1DB2D305">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高效连接技术 high-efficiency connection technology</w:t>
      </w:r>
    </w:p>
    <w:p w14:paraId="19138276">
      <w:pPr>
        <w:pStyle w:val="57"/>
        <w:ind w:firstLine="420"/>
      </w:pPr>
      <w:r>
        <w:rPr>
          <w:rFonts w:hint="eastAsia"/>
        </w:rPr>
        <w:t>在装配式混凝土结构中，为减少现场湿作业、提高施工速度、确保节点性能而采用的连接方法。</w:t>
      </w:r>
    </w:p>
    <w:p w14:paraId="10618133">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钢筋套筒灌浆连接</w:t>
      </w:r>
      <w:r>
        <w:rPr>
          <w:rFonts w:hint="eastAsia" w:ascii="黑体" w:hAnsi="黑体" w:eastAsia="黑体"/>
        </w:rPr>
        <w:t xml:space="preserve"> g</w:t>
      </w:r>
      <w:r>
        <w:rPr>
          <w:rFonts w:ascii="黑体" w:hAnsi="黑体" w:eastAsia="黑体"/>
        </w:rPr>
        <w:t>rout-</w:t>
      </w:r>
      <w:r>
        <w:rPr>
          <w:rFonts w:hint="eastAsia" w:ascii="黑体" w:hAnsi="黑体" w:eastAsia="黑体"/>
        </w:rPr>
        <w:t>f</w:t>
      </w:r>
      <w:r>
        <w:rPr>
          <w:rFonts w:ascii="黑体" w:hAnsi="黑体" w:eastAsia="黑体"/>
        </w:rPr>
        <w:t xml:space="preserve">illed </w:t>
      </w:r>
      <w:r>
        <w:rPr>
          <w:rFonts w:hint="eastAsia" w:ascii="黑体" w:hAnsi="黑体" w:eastAsia="黑体"/>
        </w:rPr>
        <w:t>s</w:t>
      </w:r>
      <w:r>
        <w:rPr>
          <w:rFonts w:ascii="黑体" w:hAnsi="黑体" w:eastAsia="黑体"/>
        </w:rPr>
        <w:t xml:space="preserve">leeve </w:t>
      </w:r>
      <w:r>
        <w:rPr>
          <w:rFonts w:hint="eastAsia" w:ascii="黑体" w:hAnsi="黑体" w:eastAsia="黑体"/>
        </w:rPr>
        <w:t>c</w:t>
      </w:r>
      <w:r>
        <w:rPr>
          <w:rFonts w:ascii="黑体" w:hAnsi="黑体" w:eastAsia="黑体"/>
        </w:rPr>
        <w:t>onnection</w:t>
      </w:r>
    </w:p>
    <w:p w14:paraId="0F2C6EF3">
      <w:pPr>
        <w:pStyle w:val="224"/>
        <w:numPr>
          <w:ilvl w:val="0"/>
          <w:numId w:val="0"/>
        </w:numPr>
        <w:ind w:left="422"/>
        <w:rPr>
          <w:rFonts w:hint="eastAsia" w:ascii="黑体" w:hAnsi="黑体" w:eastAsia="黑体"/>
          <w:b/>
          <w:bCs/>
          <w:color w:val="000000" w:themeColor="text1"/>
          <w14:textFill>
            <w14:solidFill>
              <w14:schemeClr w14:val="tx1"/>
            </w14:solidFill>
          </w14:textFill>
        </w:rPr>
      </w:pPr>
      <w:r>
        <w:rPr>
          <w:rFonts w:ascii="Segoe UI" w:hAnsi="Segoe UI" w:cs="Segoe UI"/>
          <w:color w:val="000000" w:themeColor="text1"/>
          <w14:textFill>
            <w14:solidFill>
              <w14:schemeClr w14:val="tx1"/>
            </w14:solidFill>
          </w14:textFill>
        </w:rPr>
        <w:t>将预制构件中预埋的带肋钢筋插入专用金属套筒内，通过灌注高性能水泥基灌浆料填充套筒与钢筋间隙，形成钢筋连续性传力的连接方式</w:t>
      </w:r>
      <w:r>
        <w:rPr>
          <w:rFonts w:hint="eastAsia" w:ascii="Segoe UI" w:hAnsi="Segoe UI" w:cs="Segoe UI"/>
          <w:color w:val="000000" w:themeColor="text1"/>
          <w14:textFill>
            <w14:solidFill>
              <w14:schemeClr w14:val="tx1"/>
            </w14:solidFill>
          </w14:textFill>
        </w:rPr>
        <w:t>。</w:t>
      </w:r>
    </w:p>
    <w:p w14:paraId="66A31C1E">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螺栓连接 bolted connection</w:t>
      </w:r>
    </w:p>
    <w:p w14:paraId="12B164FB">
      <w:pPr>
        <w:pStyle w:val="57"/>
        <w:ind w:firstLine="420"/>
      </w:pPr>
      <w:r>
        <w:rPr>
          <w:rFonts w:hint="eastAsia"/>
        </w:rPr>
        <w:t>通过预埋螺栓、高强螺栓或剪力键等金属部件，实现预制构件间机械咬合连接的刚性连接方式。</w:t>
      </w:r>
    </w:p>
    <w:p w14:paraId="7BFA9A4B">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后浇混凝土连接</w:t>
      </w:r>
      <w:r>
        <w:rPr>
          <w:rFonts w:hint="eastAsia" w:ascii="黑体" w:hAnsi="黑体" w:eastAsia="黑体"/>
        </w:rPr>
        <w:t xml:space="preserve"> c</w:t>
      </w:r>
      <w:r>
        <w:rPr>
          <w:rFonts w:ascii="黑体" w:hAnsi="黑体" w:eastAsia="黑体"/>
        </w:rPr>
        <w:t>ast-in-</w:t>
      </w:r>
      <w:r>
        <w:rPr>
          <w:rFonts w:hint="eastAsia" w:ascii="黑体" w:hAnsi="黑体" w:eastAsia="黑体"/>
        </w:rPr>
        <w:t>p</w:t>
      </w:r>
      <w:r>
        <w:rPr>
          <w:rFonts w:ascii="黑体" w:hAnsi="黑体" w:eastAsia="黑体"/>
        </w:rPr>
        <w:t xml:space="preserve">lace </w:t>
      </w:r>
      <w:r>
        <w:rPr>
          <w:rFonts w:hint="eastAsia" w:ascii="黑体" w:hAnsi="黑体" w:eastAsia="黑体"/>
        </w:rPr>
        <w:t>c</w:t>
      </w:r>
      <w:r>
        <w:rPr>
          <w:rFonts w:ascii="黑体" w:hAnsi="黑体" w:eastAsia="黑体"/>
        </w:rPr>
        <w:t xml:space="preserve">oncrete </w:t>
      </w:r>
      <w:r>
        <w:rPr>
          <w:rFonts w:hint="eastAsia" w:ascii="黑体" w:hAnsi="黑体" w:eastAsia="黑体"/>
        </w:rPr>
        <w:t>c</w:t>
      </w:r>
      <w:r>
        <w:rPr>
          <w:rFonts w:ascii="黑体" w:hAnsi="黑体" w:eastAsia="黑体"/>
        </w:rPr>
        <w:t>onnection</w:t>
      </w:r>
    </w:p>
    <w:p w14:paraId="4BF69164">
      <w:pPr>
        <w:pStyle w:val="57"/>
        <w:ind w:firstLine="420"/>
      </w:pPr>
      <w:r>
        <w:t>在预制构件结合部位预留钢筋或键槽，通过现场浇筑混凝土形成整体受力的连接方式。</w:t>
      </w:r>
    </w:p>
    <w:p w14:paraId="72DE399D">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浆锚搭接连接 grout-anchored lapping connection</w:t>
      </w:r>
    </w:p>
    <w:p w14:paraId="47821B3F">
      <w:pPr>
        <w:pStyle w:val="57"/>
        <w:ind w:firstLine="420"/>
      </w:pPr>
      <w:r>
        <w:rPr>
          <w:rFonts w:hint="eastAsia"/>
        </w:rPr>
        <w:t>在预制构件中预埋螺旋箍筋约束的金属波纹管，将连接钢筋插入波纹管后灌注专用水泥基灌浆料，利用灌浆料与钢筋的粘结力及波纹管的机械锚固作用实现传力的连接技术。</w:t>
      </w:r>
    </w:p>
    <w:p w14:paraId="655C19B9">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连接节点</w:t>
      </w:r>
      <w:r>
        <w:rPr>
          <w:rFonts w:hint="eastAsia" w:ascii="黑体" w:hAnsi="黑体" w:eastAsia="黑体"/>
        </w:rPr>
        <w:t xml:space="preserve"> c</w:t>
      </w:r>
      <w:r>
        <w:rPr>
          <w:rFonts w:ascii="黑体" w:hAnsi="黑体" w:eastAsia="黑体"/>
        </w:rPr>
        <w:t xml:space="preserve">onnection </w:t>
      </w:r>
      <w:r>
        <w:rPr>
          <w:rFonts w:hint="eastAsia" w:ascii="黑体" w:hAnsi="黑体" w:eastAsia="黑体"/>
        </w:rPr>
        <w:t>j</w:t>
      </w:r>
      <w:r>
        <w:rPr>
          <w:rFonts w:ascii="黑体" w:hAnsi="黑体" w:eastAsia="黑体"/>
        </w:rPr>
        <w:t>oint</w:t>
      </w:r>
    </w:p>
    <w:p w14:paraId="1953C63F">
      <w:pPr>
        <w:pStyle w:val="57"/>
        <w:ind w:firstLine="420"/>
        <w:rPr>
          <w:b/>
          <w:bCs/>
        </w:rPr>
      </w:pPr>
      <w:r>
        <w:rPr>
          <w:rFonts w:ascii="Segoe UI" w:hAnsi="Segoe UI" w:cs="Segoe UI"/>
        </w:rPr>
        <w:t>预制构件间传递内力（弯矩、剪力、轴力）的关键部位</w:t>
      </w:r>
      <w:r>
        <w:rPr>
          <w:rFonts w:hint="eastAsia" w:ascii="Segoe UI" w:hAnsi="Segoe UI" w:cs="Segoe UI"/>
          <w:color w:val="404040"/>
        </w:rPr>
        <w:t>。</w:t>
      </w:r>
    </w:p>
    <w:p w14:paraId="3DE911EA">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灌浆饱满度</w:t>
      </w:r>
      <w:r>
        <w:rPr>
          <w:rFonts w:hint="eastAsia" w:ascii="黑体" w:hAnsi="黑体" w:eastAsia="黑体"/>
        </w:rPr>
        <w:t xml:space="preserve"> g</w:t>
      </w:r>
      <w:r>
        <w:rPr>
          <w:rFonts w:ascii="黑体" w:hAnsi="黑体" w:eastAsia="黑体"/>
        </w:rPr>
        <w:t xml:space="preserve">rout </w:t>
      </w:r>
      <w:r>
        <w:rPr>
          <w:rFonts w:hint="eastAsia" w:ascii="黑体" w:hAnsi="黑体" w:eastAsia="黑体"/>
        </w:rPr>
        <w:t>f</w:t>
      </w:r>
      <w:r>
        <w:rPr>
          <w:rFonts w:ascii="黑体" w:hAnsi="黑体" w:eastAsia="黑体"/>
        </w:rPr>
        <w:t xml:space="preserve">illing </w:t>
      </w:r>
      <w:r>
        <w:rPr>
          <w:rFonts w:hint="eastAsia" w:ascii="黑体" w:hAnsi="黑体" w:eastAsia="黑体"/>
        </w:rPr>
        <w:t>c</w:t>
      </w:r>
      <w:r>
        <w:rPr>
          <w:rFonts w:ascii="黑体" w:hAnsi="黑体" w:eastAsia="黑体"/>
        </w:rPr>
        <w:t>ompleteness</w:t>
      </w:r>
    </w:p>
    <w:p w14:paraId="731F258C">
      <w:pPr>
        <w:pStyle w:val="57"/>
        <w:ind w:firstLine="420"/>
      </w:pPr>
      <w:r>
        <w:t>套筒或浆锚孔内灌浆料填充密实程度的量化指标</w:t>
      </w:r>
      <w:r>
        <w:rPr>
          <w:rFonts w:hint="eastAsia"/>
        </w:rPr>
        <w:t>。</w:t>
      </w:r>
    </w:p>
    <w:p w14:paraId="0CF05E34">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干式连接</w:t>
      </w:r>
      <w:r>
        <w:rPr>
          <w:rFonts w:hint="eastAsia" w:ascii="黑体" w:hAnsi="黑体" w:eastAsia="黑体"/>
        </w:rPr>
        <w:t xml:space="preserve"> d</w:t>
      </w:r>
      <w:r>
        <w:rPr>
          <w:rFonts w:ascii="黑体" w:hAnsi="黑体" w:eastAsia="黑体"/>
        </w:rPr>
        <w:t xml:space="preserve">ry </w:t>
      </w:r>
      <w:r>
        <w:rPr>
          <w:rFonts w:hint="eastAsia" w:ascii="黑体" w:hAnsi="黑体" w:eastAsia="黑体"/>
        </w:rPr>
        <w:t>c</w:t>
      </w:r>
      <w:r>
        <w:rPr>
          <w:rFonts w:ascii="黑体" w:hAnsi="黑体" w:eastAsia="黑体"/>
        </w:rPr>
        <w:t>onnection</w:t>
      </w:r>
    </w:p>
    <w:p w14:paraId="7C5AAB8E">
      <w:pPr>
        <w:pStyle w:val="57"/>
        <w:ind w:firstLine="420"/>
      </w:pPr>
      <w:r>
        <w:rPr>
          <w:rFonts w:hint="eastAsia"/>
        </w:rPr>
        <w:t>完全依靠机械咬合、摩擦或焊接实现传力，无需浇筑混凝土或灌浆料。</w:t>
      </w:r>
    </w:p>
    <w:p w14:paraId="3D746F68">
      <w:pPr>
        <w:pStyle w:val="224"/>
        <w:ind w:left="420" w:hanging="420" w:hangingChars="200"/>
        <w:rPr>
          <w:rFonts w:hint="eastAsia" w:ascii="黑体" w:hAnsi="黑体" w:eastAsia="黑体"/>
        </w:rPr>
      </w:pPr>
      <w:r>
        <w:rPr>
          <w:rFonts w:ascii="黑体" w:hAnsi="黑体" w:eastAsia="黑体"/>
        </w:rPr>
        <w:br w:type="textWrapping"/>
      </w:r>
      <w:r>
        <w:rPr>
          <w:rFonts w:ascii="黑体" w:hAnsi="黑体" w:eastAsia="黑体"/>
        </w:rPr>
        <w:t>湿式连接</w:t>
      </w:r>
      <w:r>
        <w:rPr>
          <w:rFonts w:hint="eastAsia" w:ascii="黑体" w:hAnsi="黑体" w:eastAsia="黑体"/>
        </w:rPr>
        <w:t xml:space="preserve"> w</w:t>
      </w:r>
      <w:r>
        <w:rPr>
          <w:rFonts w:ascii="黑体" w:hAnsi="黑体" w:eastAsia="黑体"/>
        </w:rPr>
        <w:t xml:space="preserve">et </w:t>
      </w:r>
      <w:r>
        <w:rPr>
          <w:rFonts w:hint="eastAsia" w:ascii="黑体" w:hAnsi="黑体" w:eastAsia="黑体"/>
        </w:rPr>
        <w:t>c</w:t>
      </w:r>
      <w:r>
        <w:rPr>
          <w:rFonts w:ascii="黑体" w:hAnsi="黑体" w:eastAsia="黑体"/>
        </w:rPr>
        <w:t>onnection</w:t>
      </w:r>
    </w:p>
    <w:p w14:paraId="36E2B655">
      <w:pPr>
        <w:pStyle w:val="57"/>
        <w:ind w:firstLine="420"/>
      </w:pPr>
      <w:r>
        <w:rPr>
          <w:rFonts w:hint="eastAsia"/>
        </w:rPr>
        <w:t>通过灌浆料、现浇混凝土等材料固化形成整体。</w:t>
      </w:r>
    </w:p>
    <w:p w14:paraId="2A1DCD46">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全过程质量追溯体系 whole-process quality traceability system</w:t>
      </w:r>
    </w:p>
    <w:p w14:paraId="5F13DA6D">
      <w:pPr>
        <w:pStyle w:val="57"/>
        <w:ind w:firstLine="420"/>
      </w:pPr>
      <w:r>
        <w:rPr>
          <w:rFonts w:hint="eastAsia"/>
        </w:rPr>
        <w:t>依托数字化技术，对装配式混凝土结构高效连接工程中材料进场、构件生产、现场施工、质量检测等各环节的质量数据进行全程记录、存储、查询的管理体系，确保质量问题可溯源、可追责。</w:t>
      </w:r>
    </w:p>
    <w:p w14:paraId="7852F2FD">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智能灌浆设备 intelligent grouting equipment</w:t>
      </w:r>
    </w:p>
    <w:p w14:paraId="5F629DC2">
      <w:pPr>
        <w:pStyle w:val="57"/>
        <w:ind w:firstLine="420"/>
      </w:pPr>
      <w:r>
        <w:rPr>
          <w:rFonts w:hint="eastAsia"/>
        </w:rPr>
        <w:t>可实现灌浆压力、流量、灌注速度等参数实时监测、自动调节、数据上传及存储的灌浆施工专用设备，用于提升灌浆施工的标准化和智能化水平。</w:t>
      </w:r>
    </w:p>
    <w:p w14:paraId="6DE62992">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防松脱验算 anti-loosening check</w:t>
      </w:r>
    </w:p>
    <w:p w14:paraId="35B00782">
      <w:pPr>
        <w:pStyle w:val="57"/>
        <w:ind w:firstLine="420"/>
      </w:pPr>
      <w:r>
        <w:rPr>
          <w:rFonts w:hint="eastAsia"/>
        </w:rPr>
        <w:t>针对干式连接节点，考虑长期振动、温度变形、混凝土收缩徐变等因素，对螺栓等连接件进行的抗松动、抗疲劳力学验算。</w:t>
      </w:r>
    </w:p>
    <w:p w14:paraId="5C2AF647">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型式检验 type test</w:t>
      </w:r>
    </w:p>
    <w:p w14:paraId="7BAFB8BA">
      <w:pPr>
        <w:pStyle w:val="57"/>
        <w:ind w:firstLine="420"/>
      </w:pPr>
      <w:r>
        <w:rPr>
          <w:rFonts w:hint="eastAsia"/>
        </w:rPr>
        <w:t>对非标连接件或新型连接技术，按规定的方法进行全面的性能检验，验证其是否符合设计及标准要求的试验过程。</w:t>
      </w:r>
    </w:p>
    <w:p w14:paraId="6BE3E3BD">
      <w:pPr>
        <w:pStyle w:val="224"/>
        <w:rPr>
          <w:rFonts w:hint="eastAsia" w:ascii="黑体" w:hAnsi="黑体" w:eastAsia="黑体"/>
        </w:rPr>
      </w:pPr>
      <w:r>
        <w:rPr>
          <w:rFonts w:ascii="黑体" w:hAnsi="黑体" w:eastAsia="黑体"/>
        </w:rPr>
        <w:br w:type="textWrapping"/>
      </w:r>
      <w:r>
        <w:rPr>
          <w:rFonts w:hint="eastAsia" w:ascii="黑体" w:hAnsi="黑体" w:eastAsia="黑体"/>
        </w:rPr>
        <w:t xml:space="preserve">    数字化施工管理平台 digital construction management platform</w:t>
      </w:r>
    </w:p>
    <w:p w14:paraId="40ABD238">
      <w:pPr>
        <w:pStyle w:val="57"/>
        <w:ind w:firstLine="420"/>
      </w:pPr>
      <w:r>
        <w:rPr>
          <w:rFonts w:hint="eastAsia"/>
        </w:rPr>
        <w:t>整合BIM模型、施工监测数据、质量追溯数据、安全环保数据等信息，实现装配式混凝土结构高效连接工程设计、施工、验收全流程数字化管控的平台。</w:t>
      </w:r>
    </w:p>
    <w:p w14:paraId="3279B4A5">
      <w:pPr>
        <w:pStyle w:val="105"/>
        <w:spacing w:before="240" w:after="240"/>
      </w:pPr>
      <w:bookmarkStart w:id="53" w:name="_Toc224821775"/>
      <w:bookmarkStart w:id="54" w:name="_Toc194879307"/>
      <w:r>
        <w:rPr>
          <w:rFonts w:hint="eastAsia"/>
        </w:rPr>
        <w:t>基本规定</w:t>
      </w:r>
      <w:bookmarkEnd w:id="53"/>
      <w:bookmarkEnd w:id="54"/>
    </w:p>
    <w:p w14:paraId="0213E8A6">
      <w:pPr>
        <w:pStyle w:val="106"/>
        <w:spacing w:before="120" w:after="120"/>
      </w:pPr>
      <w:bookmarkStart w:id="55" w:name="_Toc224821776"/>
      <w:bookmarkStart w:id="56" w:name="_Toc194879308"/>
      <w:r>
        <w:rPr>
          <w:rFonts w:hint="eastAsia"/>
        </w:rPr>
        <w:t>通用要求</w:t>
      </w:r>
      <w:bookmarkEnd w:id="55"/>
      <w:bookmarkEnd w:id="56"/>
    </w:p>
    <w:p w14:paraId="50D0DF74">
      <w:pPr>
        <w:pStyle w:val="166"/>
      </w:pPr>
      <w:r>
        <w:rPr>
          <w:rFonts w:hint="eastAsia"/>
        </w:rPr>
        <w:t>高效连接技术应用前应编制专项技术方案，明确连接节点设计参数、施工工艺、质量检测方法及验收标准。</w:t>
      </w:r>
    </w:p>
    <w:p w14:paraId="781932FE">
      <w:pPr>
        <w:pStyle w:val="166"/>
      </w:pPr>
      <w:r>
        <w:rPr>
          <w:rFonts w:hint="eastAsia"/>
        </w:rPr>
        <w:t>连接技术选择应综合考虑以下因素：</w:t>
      </w:r>
    </w:p>
    <w:p w14:paraId="79C6208C">
      <w:pPr>
        <w:pStyle w:val="175"/>
      </w:pPr>
      <w:r>
        <w:rPr>
          <w:rFonts w:hint="eastAsia"/>
        </w:rPr>
        <w:t>结构类型（框架结构、剪力墙结构等）与抗震设防烈度；</w:t>
      </w:r>
    </w:p>
    <w:p w14:paraId="40DB98D0">
      <w:pPr>
        <w:pStyle w:val="175"/>
      </w:pPr>
      <w:r>
        <w:rPr>
          <w:rFonts w:hint="eastAsia"/>
        </w:rPr>
        <w:t>构件生产精度与现场施工条件；</w:t>
      </w:r>
    </w:p>
    <w:p w14:paraId="43824A70">
      <w:pPr>
        <w:pStyle w:val="175"/>
      </w:pPr>
      <w:r>
        <w:rPr>
          <w:rFonts w:hint="eastAsia"/>
        </w:rPr>
        <w:t>全寿命周期内的可检性、可修性与可更换性。</w:t>
      </w:r>
    </w:p>
    <w:p w14:paraId="7D1AACD6">
      <w:pPr>
        <w:pStyle w:val="166"/>
      </w:pPr>
      <w:r>
        <w:rPr>
          <w:rFonts w:hint="eastAsia"/>
        </w:rPr>
        <w:t>连接技术的选择应遵循安全可靠、施工高效、经济合理、绿色环保的原则，综合考虑结构类型、抗震设防烈度、构件生产精度、现场施工条件及结构全寿命周期的可检性、可修性与可更换性。</w:t>
      </w:r>
    </w:p>
    <w:p w14:paraId="01E0E39D">
      <w:pPr>
        <w:pStyle w:val="166"/>
      </w:pPr>
      <w:r>
        <w:rPr>
          <w:rFonts w:hint="eastAsia"/>
        </w:rPr>
        <w:t>高效连接工程的实施应建立质量管理、安全管理和环境管理三位一体的管理体系，落实岗位责任制，加强各环节过程管控。</w:t>
      </w:r>
    </w:p>
    <w:p w14:paraId="74A2AEED">
      <w:pPr>
        <w:pStyle w:val="166"/>
      </w:pPr>
      <w:r>
        <w:rPr>
          <w:rFonts w:hint="eastAsia"/>
        </w:rPr>
        <w:t>鼓励在高效连接工程中采用BIM、区块链、智能监测等数字化技术，推动工程设计、施工、管理的智能化升级；鼓励研发和应用新型高效连接材料、设备和工艺，提升连接技术水平。</w:t>
      </w:r>
    </w:p>
    <w:p w14:paraId="786E9396">
      <w:pPr>
        <w:pStyle w:val="106"/>
        <w:spacing w:before="120" w:after="120"/>
      </w:pPr>
      <w:bookmarkStart w:id="57" w:name="_Toc194879309"/>
      <w:bookmarkStart w:id="58" w:name="_Toc224821777"/>
      <w:r>
        <w:rPr>
          <w:rFonts w:hint="eastAsia"/>
        </w:rPr>
        <w:t>设计要求</w:t>
      </w:r>
      <w:bookmarkEnd w:id="57"/>
      <w:bookmarkEnd w:id="58"/>
    </w:p>
    <w:p w14:paraId="4520C6B8">
      <w:pPr>
        <w:pStyle w:val="166"/>
      </w:pPr>
      <w:r>
        <w:rPr>
          <w:rFonts w:hint="eastAsia"/>
        </w:rPr>
        <w:t>连接节点设计应符合“等同现浇”原则，确保结构整体性，并满足以下性能指标：</w:t>
      </w:r>
    </w:p>
    <w:p w14:paraId="157469F9">
      <w:pPr>
        <w:pStyle w:val="175"/>
        <w:numPr>
          <w:ilvl w:val="0"/>
          <w:numId w:val="32"/>
        </w:numPr>
      </w:pPr>
      <w:r>
        <w:rPr>
          <w:rFonts w:hint="eastAsia"/>
        </w:rPr>
        <w:t>承载力：节点极限承载力不小于1.2倍被连接构件承载力；</w:t>
      </w:r>
    </w:p>
    <w:p w14:paraId="2E1222DD">
      <w:pPr>
        <w:pStyle w:val="175"/>
        <w:numPr>
          <w:ilvl w:val="0"/>
          <w:numId w:val="32"/>
        </w:numPr>
      </w:pPr>
      <w:r>
        <w:rPr>
          <w:rFonts w:hint="eastAsia"/>
        </w:rPr>
        <w:t>刚度：节点区段刚度退化率不大于15%（罕遇地震作用下）；</w:t>
      </w:r>
    </w:p>
    <w:p w14:paraId="08D054FA">
      <w:pPr>
        <w:pStyle w:val="175"/>
        <w:numPr>
          <w:ilvl w:val="0"/>
          <w:numId w:val="32"/>
        </w:numPr>
      </w:pPr>
      <w:r>
        <w:rPr>
          <w:rFonts w:hint="eastAsia"/>
        </w:rPr>
        <w:t>延性：梁柱节点塑性转角不小于0.03 rad。</w:t>
      </w:r>
    </w:p>
    <w:p w14:paraId="3B58A262">
      <w:pPr>
        <w:pStyle w:val="166"/>
      </w:pPr>
      <w:r>
        <w:rPr>
          <w:rFonts w:hint="eastAsia"/>
        </w:rPr>
        <w:t>抗震设防烈度7度及以上地区的连接节点，应进行低周反复加载试验验证，试验样本数量≥3组。</w:t>
      </w:r>
    </w:p>
    <w:p w14:paraId="525A5FD8">
      <w:pPr>
        <w:pStyle w:val="166"/>
      </w:pPr>
      <w:r>
        <w:rPr>
          <w:rFonts w:hint="eastAsia"/>
        </w:rPr>
        <w:t>干式连接（如螺栓连接）应进行防松脱验算，同时考虑长期振动与温度变形的影响。</w:t>
      </w:r>
    </w:p>
    <w:p w14:paraId="22EFD055">
      <w:pPr>
        <w:pStyle w:val="166"/>
      </w:pPr>
      <w:r>
        <w:rPr>
          <w:rFonts w:hint="eastAsia"/>
        </w:rPr>
        <w:t>复杂节点（如框架梁柱核心区、剪力墙拼接节点、异形构件连接节点）应通过实体试验或数值模拟验证设计合理性，确保节点受力性能符合要求。</w:t>
      </w:r>
    </w:p>
    <w:p w14:paraId="6B3430F0">
      <w:pPr>
        <w:pStyle w:val="166"/>
      </w:pPr>
      <w:r>
        <w:rPr>
          <w:rFonts w:hint="eastAsia"/>
        </w:rPr>
        <w:t>非标连接件及新型连接技术应用前，应进行型式检验和现场适用性试验，检验合格后方可在工程中使用。</w:t>
      </w:r>
    </w:p>
    <w:p w14:paraId="056472D4">
      <w:pPr>
        <w:pStyle w:val="166"/>
      </w:pPr>
      <w:r>
        <w:rPr>
          <w:rFonts w:hint="eastAsia"/>
        </w:rPr>
        <w:t>连接节点的耐久性设计应符合GB/T 50476的规定，根据工程环境类别，对金属连接件采取相应的防腐、防火措施。</w:t>
      </w:r>
    </w:p>
    <w:p w14:paraId="701BBDED">
      <w:pPr>
        <w:pStyle w:val="106"/>
        <w:spacing w:before="120" w:after="120"/>
      </w:pPr>
      <w:bookmarkStart w:id="59" w:name="_Toc194879310"/>
      <w:bookmarkStart w:id="60" w:name="_Toc224821778"/>
      <w:r>
        <w:rPr>
          <w:rFonts w:hint="eastAsia"/>
        </w:rPr>
        <w:t>施工要求</w:t>
      </w:r>
      <w:bookmarkEnd w:id="59"/>
      <w:bookmarkEnd w:id="60"/>
    </w:p>
    <w:p w14:paraId="735232D8">
      <w:pPr>
        <w:pStyle w:val="166"/>
      </w:pPr>
      <w:r>
        <w:rPr>
          <w:rFonts w:hint="eastAsia"/>
        </w:rPr>
        <w:t>构建生产阶段的施工要求，主要包括以下内容：</w:t>
      </w:r>
    </w:p>
    <w:p w14:paraId="33756B27">
      <w:pPr>
        <w:pStyle w:val="175"/>
        <w:numPr>
          <w:ilvl w:val="0"/>
          <w:numId w:val="33"/>
        </w:numPr>
      </w:pPr>
      <w:r>
        <w:rPr>
          <w:rFonts w:hint="eastAsia"/>
        </w:rPr>
        <w:t>连接部位预埋件定位偏差不大于2 mm；</w:t>
      </w:r>
    </w:p>
    <w:p w14:paraId="3A9C7330">
      <w:pPr>
        <w:pStyle w:val="175"/>
        <w:numPr>
          <w:ilvl w:val="0"/>
          <w:numId w:val="33"/>
        </w:numPr>
      </w:pPr>
      <w:r>
        <w:rPr>
          <w:rFonts w:hint="eastAsia"/>
        </w:rPr>
        <w:t>套筒内径加工误差控制在±0.5 mm以内；</w:t>
      </w:r>
    </w:p>
    <w:p w14:paraId="1EFBBEDF">
      <w:pPr>
        <w:pStyle w:val="175"/>
        <w:numPr>
          <w:ilvl w:val="0"/>
          <w:numId w:val="33"/>
        </w:numPr>
      </w:pPr>
      <w:r>
        <w:rPr>
          <w:rFonts w:hint="eastAsia"/>
        </w:rPr>
        <w:t>预埋螺栓丝扣应采取塑料套管保护，防止混凝土污染。</w:t>
      </w:r>
    </w:p>
    <w:p w14:paraId="5C805FBF">
      <w:pPr>
        <w:pStyle w:val="175"/>
      </w:pPr>
      <w:r>
        <w:rPr>
          <w:rFonts w:hint="eastAsia"/>
        </w:rPr>
        <w:t>预制构件连接部位应设置清晰的定位标识、标高标识及构件编号，标识应具有耐久性，不易脱落。</w:t>
      </w:r>
    </w:p>
    <w:p w14:paraId="552928D5">
      <w:pPr>
        <w:pStyle w:val="175"/>
      </w:pPr>
      <w:r>
        <w:rPr>
          <w:rFonts w:hint="eastAsia"/>
        </w:rPr>
        <w:t>预制构件出厂前应进行连接部位质量检验，检验合格并出具出厂检验报告后方可运输，运输过程中应采取防护措施，防止预埋件损坏、构件变形。</w:t>
      </w:r>
    </w:p>
    <w:p w14:paraId="3AD640F6">
      <w:pPr>
        <w:pStyle w:val="166"/>
      </w:pPr>
      <w:r>
        <w:rPr>
          <w:rFonts w:hint="eastAsia"/>
        </w:rPr>
        <w:t>现场装配阶段的施工要求，要包括以下内容：</w:t>
      </w:r>
    </w:p>
    <w:p w14:paraId="4886EFF0">
      <w:pPr>
        <w:pStyle w:val="175"/>
        <w:numPr>
          <w:ilvl w:val="0"/>
          <w:numId w:val="34"/>
        </w:numPr>
      </w:pPr>
      <w:r>
        <w:rPr>
          <w:rFonts w:hint="eastAsia"/>
        </w:rPr>
        <w:t>构件吊装就位后，相邻构件连接面间隙不大于5 mm；</w:t>
      </w:r>
    </w:p>
    <w:p w14:paraId="7BAFAA78">
      <w:pPr>
        <w:pStyle w:val="175"/>
        <w:numPr>
          <w:ilvl w:val="0"/>
          <w:numId w:val="34"/>
        </w:numPr>
      </w:pPr>
      <w:r>
        <w:rPr>
          <w:rFonts w:hint="eastAsia"/>
        </w:rPr>
        <w:t>灌浆施工环境温度应控制在5 ℃</w:t>
      </w:r>
      <m:oMath>
        <m:r>
          <m:rPr/>
          <w:rPr>
            <w:rFonts w:hint="eastAsia" w:ascii="Cambria Math" w:hAnsi="Cambria Math"/>
          </w:rPr>
          <m:t>~</m:t>
        </m:r>
      </m:oMath>
      <w:r>
        <w:rPr>
          <w:rFonts w:hint="eastAsia"/>
        </w:rPr>
        <w:t>35 ℃，否则应采取升温或降温措施；</w:t>
      </w:r>
    </w:p>
    <w:p w14:paraId="1D2BA718">
      <w:pPr>
        <w:pStyle w:val="175"/>
        <w:numPr>
          <w:ilvl w:val="0"/>
          <w:numId w:val="34"/>
        </w:numPr>
      </w:pPr>
      <w:r>
        <w:rPr>
          <w:rFonts w:hint="eastAsia"/>
        </w:rPr>
        <w:t>后浇混凝土浇筑前，接合面应进行凿毛处理，粗糙度不小于3 mm。</w:t>
      </w:r>
    </w:p>
    <w:p w14:paraId="61875A88">
      <w:pPr>
        <w:pStyle w:val="175"/>
      </w:pPr>
      <w:r>
        <w:rPr>
          <w:rFonts w:hint="eastAsia"/>
        </w:rPr>
        <w:t>现场装配前应清理构件连接面的浮浆、灰尘、油污等杂物，确保连接面贴合紧密、粘结可靠。</w:t>
      </w:r>
    </w:p>
    <w:p w14:paraId="156F1848">
      <w:pPr>
        <w:pStyle w:val="175"/>
      </w:pPr>
      <w:r>
        <w:rPr>
          <w:rFonts w:hint="eastAsia"/>
        </w:rPr>
        <w:t>构件吊装应采用专用吊具，吊装过程中应防止构件碰撞、变形，吊装就位后应采取临时固定措施，确保构件稳定。</w:t>
      </w:r>
    </w:p>
    <w:p w14:paraId="2EB613F8">
      <w:pPr>
        <w:pStyle w:val="106"/>
        <w:spacing w:before="120" w:after="120"/>
      </w:pPr>
      <w:bookmarkStart w:id="61" w:name="_Toc224821779"/>
      <w:bookmarkStart w:id="62" w:name="_Toc194879311"/>
      <w:r>
        <w:rPr>
          <w:rFonts w:hint="eastAsia"/>
        </w:rPr>
        <w:t>质量控制</w:t>
      </w:r>
      <w:bookmarkEnd w:id="61"/>
      <w:bookmarkEnd w:id="62"/>
    </w:p>
    <w:p w14:paraId="1A28D92D">
      <w:pPr>
        <w:pStyle w:val="166"/>
      </w:pPr>
      <w:r>
        <w:rPr>
          <w:rFonts w:hint="eastAsia"/>
        </w:rPr>
        <w:t>应建立全过程质量追溯体系，主要内容包括：</w:t>
      </w:r>
    </w:p>
    <w:p w14:paraId="2C206326">
      <w:pPr>
        <w:pStyle w:val="175"/>
        <w:numPr>
          <w:ilvl w:val="0"/>
          <w:numId w:val="35"/>
        </w:numPr>
      </w:pPr>
      <w:r>
        <w:rPr>
          <w:rFonts w:hint="eastAsia"/>
        </w:rPr>
        <w:t>预制构件连接部位出厂检验记录；</w:t>
      </w:r>
    </w:p>
    <w:p w14:paraId="71886D70">
      <w:pPr>
        <w:pStyle w:val="175"/>
        <w:numPr>
          <w:ilvl w:val="0"/>
          <w:numId w:val="35"/>
        </w:numPr>
      </w:pPr>
      <w:r>
        <w:rPr>
          <w:rFonts w:hint="eastAsia"/>
        </w:rPr>
        <w:t>灌浆料批次检测报告；</w:t>
      </w:r>
    </w:p>
    <w:p w14:paraId="19DB4A37">
      <w:pPr>
        <w:pStyle w:val="175"/>
        <w:numPr>
          <w:ilvl w:val="0"/>
          <w:numId w:val="35"/>
        </w:numPr>
      </w:pPr>
      <w:r>
        <w:rPr>
          <w:rFonts w:hint="eastAsia"/>
        </w:rPr>
        <w:t>现场灌浆施工影像记录。</w:t>
      </w:r>
    </w:p>
    <w:p w14:paraId="0CBAE272">
      <w:pPr>
        <w:pStyle w:val="166"/>
      </w:pPr>
      <w:r>
        <w:rPr>
          <w:rFonts w:hint="eastAsia"/>
        </w:rPr>
        <w:t>对套筒灌浆连接、浆锚搭接等隐蔽工程，应采用区块链技术进行数据存证。</w:t>
      </w:r>
    </w:p>
    <w:p w14:paraId="1CDFEEAF">
      <w:pPr>
        <w:pStyle w:val="166"/>
      </w:pPr>
      <w:r>
        <w:rPr>
          <w:rFonts w:hint="eastAsia"/>
        </w:rPr>
        <w:t>质量控制应实行“三检制”（自检、互检、专检），隐蔽工程验收合格后方可进入下一道工序，未经验收或验收不合格的，不得继续施工。</w:t>
      </w:r>
    </w:p>
    <w:p w14:paraId="46E99096">
      <w:pPr>
        <w:pStyle w:val="166"/>
      </w:pPr>
      <w:r>
        <w:rPr>
          <w:rFonts w:hint="eastAsia"/>
        </w:rPr>
        <w:t>主要材料（钢筋、灌浆料、金属连接件等）进场时应进行进场检验，检验合格并经监理单位确认后方可使用，严禁使用不合格材料。</w:t>
      </w:r>
    </w:p>
    <w:p w14:paraId="788DE74F">
      <w:pPr>
        <w:pStyle w:val="106"/>
        <w:spacing w:before="120" w:after="120"/>
      </w:pPr>
      <w:bookmarkStart w:id="63" w:name="_Toc224821780"/>
      <w:bookmarkStart w:id="64" w:name="_Toc194879312"/>
      <w:r>
        <w:rPr>
          <w:rFonts w:hint="eastAsia"/>
        </w:rPr>
        <w:t>安全与环保</w:t>
      </w:r>
      <w:bookmarkEnd w:id="63"/>
      <w:bookmarkEnd w:id="64"/>
    </w:p>
    <w:p w14:paraId="76EFAEDE">
      <w:pPr>
        <w:pStyle w:val="166"/>
      </w:pPr>
      <w:r>
        <w:rPr>
          <w:rFonts w:hint="eastAsia"/>
        </w:rPr>
        <w:t>灌浆作业安全控制的内容包括：</w:t>
      </w:r>
    </w:p>
    <w:p w14:paraId="64146D83">
      <w:pPr>
        <w:pStyle w:val="175"/>
        <w:numPr>
          <w:ilvl w:val="0"/>
          <w:numId w:val="36"/>
        </w:numPr>
      </w:pPr>
      <w:r>
        <w:rPr>
          <w:rFonts w:hint="eastAsia"/>
        </w:rPr>
        <w:t>灌浆料搅拌区应设置独立通风系统，空气中粉尘浓度不大于5 mg/m³；</w:t>
      </w:r>
    </w:p>
    <w:p w14:paraId="7EBA25F5">
      <w:pPr>
        <w:pStyle w:val="175"/>
        <w:numPr>
          <w:ilvl w:val="0"/>
          <w:numId w:val="36"/>
        </w:numPr>
      </w:pPr>
      <w:r>
        <w:rPr>
          <w:rFonts w:hint="eastAsia"/>
        </w:rPr>
        <w:t>操作人员连续作业时间不大于2 h，需配备护目镜及橡胶手套。</w:t>
      </w:r>
    </w:p>
    <w:p w14:paraId="464F335F">
      <w:pPr>
        <w:pStyle w:val="166"/>
      </w:pPr>
      <w:r>
        <w:rPr>
          <w:rFonts w:hint="eastAsia"/>
        </w:rPr>
        <w:t>废弃物管理：</w:t>
      </w:r>
    </w:p>
    <w:p w14:paraId="677297A7">
      <w:pPr>
        <w:pStyle w:val="175"/>
        <w:numPr>
          <w:ilvl w:val="0"/>
          <w:numId w:val="37"/>
        </w:numPr>
      </w:pPr>
      <w:r>
        <w:rPr>
          <w:rFonts w:hint="eastAsia"/>
        </w:rPr>
        <w:t>废弃灌浆料硬化前需固化处理，重金属含量应符合GB 5085.3的要求；</w:t>
      </w:r>
    </w:p>
    <w:p w14:paraId="3230E132">
      <w:pPr>
        <w:pStyle w:val="175"/>
        <w:numPr>
          <w:ilvl w:val="0"/>
          <w:numId w:val="37"/>
        </w:numPr>
      </w:pPr>
      <w:r>
        <w:rPr>
          <w:rFonts w:hint="eastAsia"/>
        </w:rPr>
        <w:t>金属套筒包装物回收率不小于95%。</w:t>
      </w:r>
    </w:p>
    <w:p w14:paraId="36A1CD6F">
      <w:pPr>
        <w:pStyle w:val="166"/>
      </w:pPr>
      <w:r>
        <w:rPr>
          <w:rFonts w:hint="eastAsia"/>
        </w:rPr>
        <w:t>施工现场应划分作业区域，设置明显的安全警示标识、环保标识，危险作业区域应采取封闭防护措施。</w:t>
      </w:r>
    </w:p>
    <w:p w14:paraId="53D045E8">
      <w:pPr>
        <w:pStyle w:val="166"/>
      </w:pPr>
      <w:r>
        <w:rPr>
          <w:rFonts w:hint="eastAsia"/>
        </w:rPr>
        <w:t>施工过程中应采取降噪、降尘、废水处理等环保措施，符合GB 12348、GB 16297等相关标准要求。</w:t>
      </w:r>
    </w:p>
    <w:p w14:paraId="183C1ADA">
      <w:pPr>
        <w:pStyle w:val="106"/>
        <w:spacing w:before="120" w:after="120"/>
      </w:pPr>
      <w:bookmarkStart w:id="65" w:name="_Toc224821781"/>
      <w:bookmarkStart w:id="66" w:name="_Toc194879313"/>
      <w:r>
        <w:rPr>
          <w:rFonts w:hint="eastAsia"/>
        </w:rPr>
        <w:t>数字化管理</w:t>
      </w:r>
      <w:bookmarkEnd w:id="65"/>
      <w:bookmarkEnd w:id="66"/>
    </w:p>
    <w:p w14:paraId="54DECEF2">
      <w:pPr>
        <w:pStyle w:val="166"/>
      </w:pPr>
      <w:r>
        <w:rPr>
          <w:rFonts w:hint="eastAsia"/>
        </w:rPr>
        <w:t>宜采用BIM技术进行连接节点碰撞检查，螺栓孔位冲突预警精度不大于1 mm。</w:t>
      </w:r>
    </w:p>
    <w:p w14:paraId="02B60B23">
      <w:pPr>
        <w:pStyle w:val="166"/>
      </w:pPr>
      <w:r>
        <w:rPr>
          <w:rFonts w:hint="eastAsia"/>
        </w:rPr>
        <w:t>推广使用智能灌浆设备，实现灌浆压力（0.2</w:t>
      </w:r>
      <m:oMath>
        <m:r>
          <m:rPr/>
          <w:rPr>
            <w:rFonts w:hint="eastAsia" w:ascii="Cambria Math" w:hAnsi="Cambria Math"/>
          </w:rPr>
          <m:t>~</m:t>
        </m:r>
      </m:oMath>
      <w:r>
        <w:rPr>
          <w:rFonts w:hint="eastAsia"/>
        </w:rPr>
        <w:t>0.5 MPa）、流量（5</w:t>
      </w:r>
      <m:oMath>
        <m:r>
          <m:rPr/>
          <w:rPr>
            <w:rFonts w:hint="eastAsia" w:ascii="Cambria Math" w:hAnsi="Cambria Math"/>
          </w:rPr>
          <m:t>~</m:t>
        </m:r>
      </m:oMath>
      <w:r>
        <w:rPr>
          <w:rFonts w:hint="eastAsia"/>
        </w:rPr>
        <w:t>10 L/min）的实时监测与数据上传。</w:t>
      </w:r>
    </w:p>
    <w:p w14:paraId="59D0B429">
      <w:pPr>
        <w:pStyle w:val="166"/>
      </w:pPr>
      <w:r>
        <w:rPr>
          <w:rFonts w:hint="eastAsia"/>
        </w:rPr>
        <w:t>应建立数字化施工管理平台，整合 BIM 模型、施工监测数据、质量追溯数据、安全环保数据等，实现工程全流程数字化管控。</w:t>
      </w:r>
    </w:p>
    <w:p w14:paraId="4A5324F9">
      <w:pPr>
        <w:pStyle w:val="166"/>
      </w:pPr>
      <w:r>
        <w:rPr>
          <w:rFonts w:hint="eastAsia"/>
        </w:rPr>
        <w:t>装配式混凝土结构构件应设置唯一的数字化标识，实现构件从生产、运输、装配到验收的全生命周期追溯。</w:t>
      </w:r>
    </w:p>
    <w:p w14:paraId="1CD5DC70">
      <w:pPr>
        <w:pStyle w:val="105"/>
        <w:spacing w:before="240" w:after="240"/>
      </w:pPr>
      <w:bookmarkStart w:id="67" w:name="_Toc224821782"/>
      <w:bookmarkStart w:id="68" w:name="_Toc194879314"/>
      <w:r>
        <w:rPr>
          <w:rFonts w:hint="eastAsia"/>
        </w:rPr>
        <w:t>材料要求</w:t>
      </w:r>
      <w:bookmarkEnd w:id="67"/>
      <w:bookmarkEnd w:id="68"/>
    </w:p>
    <w:p w14:paraId="53767A4C">
      <w:pPr>
        <w:pStyle w:val="106"/>
        <w:spacing w:before="120" w:after="120"/>
      </w:pPr>
      <w:bookmarkStart w:id="69" w:name="_Toc194879315"/>
      <w:bookmarkStart w:id="70" w:name="_Toc224821783"/>
      <w:r>
        <w:rPr>
          <w:rFonts w:hint="eastAsia"/>
        </w:rPr>
        <w:t>钢筋</w:t>
      </w:r>
      <w:bookmarkEnd w:id="69"/>
      <w:bookmarkEnd w:id="70"/>
    </w:p>
    <w:p w14:paraId="033E9CA4">
      <w:pPr>
        <w:pStyle w:val="66"/>
        <w:spacing w:before="120" w:after="120"/>
      </w:pPr>
      <w:r>
        <w:rPr>
          <w:rFonts w:hint="eastAsia"/>
        </w:rPr>
        <w:t>等级与规格</w:t>
      </w:r>
    </w:p>
    <w:p w14:paraId="140BE9B1">
      <w:pPr>
        <w:pStyle w:val="165"/>
        <w:numPr>
          <w:ilvl w:val="0"/>
          <w:numId w:val="0"/>
        </w:numPr>
        <w:ind w:firstLine="420" w:firstLineChars="200"/>
      </w:pPr>
      <w:r>
        <w:rPr>
          <w:rFonts w:hint="eastAsia"/>
        </w:rPr>
        <w:t xml:space="preserve">预制构件连接用钢筋应采用HRB400级及以上热轧带肋钢筋，直径范围宜为12 </w:t>
      </w:r>
      <w:r>
        <w:t>mm</w:t>
      </w:r>
      <m:oMath>
        <m:r>
          <m:rPr/>
          <w:rPr>
            <w:rFonts w:hint="eastAsia" w:ascii="Cambria Math" w:hAnsi="Cambria Math"/>
          </w:rPr>
          <m:t>~</m:t>
        </m:r>
      </m:oMath>
      <w:r>
        <w:rPr>
          <w:rFonts w:hint="eastAsia"/>
        </w:rPr>
        <w:t>40 mm；钢筋性能应符合GB 1499.2的规定，实测屈服强度ReL不小于400 MPa，抗拉强度Rm不小于540 MPa，最大力总延伸率Agt不小于7.5%。</w:t>
      </w:r>
    </w:p>
    <w:p w14:paraId="2810E1ED">
      <w:pPr>
        <w:pStyle w:val="66"/>
        <w:spacing w:before="120" w:after="120"/>
      </w:pPr>
      <w:r>
        <w:rPr>
          <w:rFonts w:hint="eastAsia"/>
        </w:rPr>
        <w:t>加工要求</w:t>
      </w:r>
    </w:p>
    <w:p w14:paraId="2AB81B8A">
      <w:pPr>
        <w:pStyle w:val="165"/>
      </w:pPr>
      <w:r>
        <w:rPr>
          <w:rFonts w:hint="eastAsia"/>
        </w:rPr>
        <w:t>钢筋端部应平整，无翘曲、毛刺，切断面垂直度偏差不大于2°。</w:t>
      </w:r>
    </w:p>
    <w:p w14:paraId="740539D2">
      <w:pPr>
        <w:pStyle w:val="165"/>
      </w:pPr>
      <w:r>
        <w:rPr>
          <w:rFonts w:hint="eastAsia"/>
        </w:rPr>
        <w:t>套筒灌浆连接用钢筋螺纹加工精度应符合JGJ 107的Ⅰ级接头要求，螺纹中径公差±0.05 mm。</w:t>
      </w:r>
    </w:p>
    <w:p w14:paraId="50F02B4F">
      <w:pPr>
        <w:pStyle w:val="165"/>
      </w:pPr>
      <w:r>
        <w:rPr>
          <w:rFonts w:hint="eastAsia"/>
        </w:rPr>
        <w:t>钢筋表面应洁净，无锈蚀、油污、裂纹等缺陷，锈蚀等级应符合相关标准要求，严禁使用锈蚀严重的钢筋。</w:t>
      </w:r>
    </w:p>
    <w:p w14:paraId="6428E951">
      <w:pPr>
        <w:pStyle w:val="165"/>
      </w:pPr>
      <w:r>
        <w:rPr>
          <w:rFonts w:hint="eastAsia"/>
        </w:rPr>
        <w:t>钢筋连接用丝头加工完成后，应进行保护，防止丝头损坏、污染，丝头检验合格后方可使用。</w:t>
      </w:r>
    </w:p>
    <w:p w14:paraId="2911AB8C">
      <w:pPr>
        <w:pStyle w:val="165"/>
      </w:pPr>
      <w:r>
        <w:rPr>
          <w:rFonts w:hint="eastAsia"/>
        </w:rPr>
        <w:t>钢筋表面应洁净，无锈蚀、油污、裂纹等缺陷，锈蚀等级应符合相关标准要求，严禁使用锈蚀严重的钢筋。</w:t>
      </w:r>
    </w:p>
    <w:p w14:paraId="4E2AEDB9">
      <w:pPr>
        <w:pStyle w:val="165"/>
      </w:pPr>
      <w:r>
        <w:rPr>
          <w:rFonts w:hint="eastAsia"/>
        </w:rPr>
        <w:t>钢筋连接用丝头加工完成后，应进行保护，防止丝头损坏、污染，丝头检验合格后方可使用。</w:t>
      </w:r>
    </w:p>
    <w:p w14:paraId="07883271">
      <w:pPr>
        <w:pStyle w:val="106"/>
        <w:spacing w:before="120" w:after="120"/>
      </w:pPr>
      <w:bookmarkStart w:id="71" w:name="_Toc224821784"/>
      <w:bookmarkStart w:id="72" w:name="_Toc194879316"/>
      <w:r>
        <w:rPr>
          <w:rFonts w:hint="eastAsia"/>
        </w:rPr>
        <w:t>灌浆料</w:t>
      </w:r>
      <w:bookmarkEnd w:id="71"/>
      <w:bookmarkEnd w:id="72"/>
    </w:p>
    <w:p w14:paraId="0F03C3FD">
      <w:pPr>
        <w:pStyle w:val="66"/>
        <w:spacing w:before="120" w:after="120"/>
      </w:pPr>
      <w:r>
        <w:rPr>
          <w:rFonts w:hint="eastAsia"/>
        </w:rPr>
        <w:t>性能指标</w:t>
      </w:r>
    </w:p>
    <w:p w14:paraId="1E827776">
      <w:pPr>
        <w:pStyle w:val="57"/>
        <w:ind w:firstLine="420"/>
      </w:pPr>
      <w:r>
        <w:rPr>
          <w:rFonts w:hint="eastAsia"/>
        </w:rPr>
        <w:t xml:space="preserve">套筒灌浆料应符合JG/T 408规定的Ⅰ类产品要求，具体指标如下： </w:t>
      </w:r>
    </w:p>
    <w:p w14:paraId="0E2DA656">
      <w:pPr>
        <w:pStyle w:val="175"/>
        <w:numPr>
          <w:ilvl w:val="0"/>
          <w:numId w:val="38"/>
        </w:numPr>
      </w:pPr>
      <w:r>
        <w:t>初始流动度：</w:t>
      </w:r>
      <w:r>
        <w:rPr>
          <w:rFonts w:hint="eastAsia"/>
        </w:rPr>
        <w:t>不大于</w:t>
      </w:r>
      <w:r>
        <w:t>300</w:t>
      </w:r>
      <w:r>
        <w:rPr>
          <w:rFonts w:hint="eastAsia"/>
        </w:rPr>
        <w:t xml:space="preserve"> </w:t>
      </w:r>
      <w:r>
        <w:t>mm（30min流动度保留值</w:t>
      </w:r>
      <w:r>
        <w:rPr>
          <w:rFonts w:hint="eastAsia"/>
        </w:rPr>
        <w:t>不小于</w:t>
      </w:r>
      <w:r>
        <w:t>260</w:t>
      </w:r>
      <w:r>
        <w:rPr>
          <w:rFonts w:hint="eastAsia"/>
        </w:rPr>
        <w:t xml:space="preserve"> </w:t>
      </w:r>
      <w:r>
        <w:t>mm）；</w:t>
      </w:r>
    </w:p>
    <w:p w14:paraId="0852FB20">
      <w:pPr>
        <w:pStyle w:val="175"/>
        <w:numPr>
          <w:ilvl w:val="0"/>
          <w:numId w:val="38"/>
        </w:numPr>
      </w:pPr>
      <w:r>
        <w:t>竖向膨胀率：3h≥0.02%，24</w:t>
      </w:r>
      <w:r>
        <w:rPr>
          <w:rFonts w:hint="eastAsia"/>
        </w:rPr>
        <w:t xml:space="preserve"> </w:t>
      </w:r>
      <w:r>
        <w:t>h与3</w:t>
      </w:r>
      <w:r>
        <w:rPr>
          <w:rFonts w:hint="eastAsia"/>
        </w:rPr>
        <w:t xml:space="preserve"> </w:t>
      </w:r>
      <w:r>
        <w:t>h差值≤0.50%；</w:t>
      </w:r>
    </w:p>
    <w:p w14:paraId="7278B1D8">
      <w:pPr>
        <w:pStyle w:val="175"/>
        <w:numPr>
          <w:ilvl w:val="0"/>
          <w:numId w:val="38"/>
        </w:numPr>
      </w:pPr>
      <w:r>
        <w:t>抗压强度：1d≥35</w:t>
      </w:r>
      <w:r>
        <w:rPr>
          <w:rFonts w:hint="eastAsia"/>
        </w:rPr>
        <w:t xml:space="preserve"> </w:t>
      </w:r>
      <w:r>
        <w:t>MPa，3d≥60</w:t>
      </w:r>
      <w:r>
        <w:rPr>
          <w:rFonts w:hint="eastAsia"/>
        </w:rPr>
        <w:t xml:space="preserve"> </w:t>
      </w:r>
      <w:r>
        <w:t>MPa，28d≥85</w:t>
      </w:r>
      <w:r>
        <w:rPr>
          <w:rFonts w:hint="eastAsia"/>
        </w:rPr>
        <w:t xml:space="preserve"> </w:t>
      </w:r>
      <w:r>
        <w:t>MPa；</w:t>
      </w:r>
    </w:p>
    <w:p w14:paraId="1B4BA6A7">
      <w:pPr>
        <w:pStyle w:val="175"/>
        <w:numPr>
          <w:ilvl w:val="0"/>
          <w:numId w:val="38"/>
        </w:numPr>
      </w:pPr>
      <w:r>
        <w:t>氯离子含量：≤0.03%。</w:t>
      </w:r>
    </w:p>
    <w:p w14:paraId="40451FD2">
      <w:pPr>
        <w:pStyle w:val="66"/>
        <w:spacing w:before="120" w:after="120"/>
      </w:pPr>
      <w:r>
        <w:rPr>
          <w:rFonts w:hint="eastAsia"/>
        </w:rPr>
        <w:t>现场检验</w:t>
      </w:r>
    </w:p>
    <w:p w14:paraId="36E29C3F">
      <w:pPr>
        <w:pStyle w:val="165"/>
      </w:pPr>
      <w:r>
        <w:rPr>
          <w:rFonts w:hint="eastAsia"/>
        </w:rPr>
        <w:t>每批次灌浆料进场时应进行流动性、膨胀率快速检测，抽样比例不小于3%且不少于2组。28 d抗压强度试件每工作班留置不少于3组，试件尺寸40 mm×40 mm×160 mm。</w:t>
      </w:r>
    </w:p>
    <w:p w14:paraId="4FD04725">
      <w:pPr>
        <w:pStyle w:val="165"/>
      </w:pPr>
      <w:r>
        <w:rPr>
          <w:rFonts w:hint="eastAsia"/>
        </w:rPr>
        <w:t>灌浆料应具有良好的和易性、保水性，初凝时间不应小于 3 h，终凝时间不应大于 24 h，满足现场施工操作要求。</w:t>
      </w:r>
    </w:p>
    <w:p w14:paraId="4BD79E82">
      <w:pPr>
        <w:pStyle w:val="165"/>
      </w:pPr>
      <w:r>
        <w:rPr>
          <w:rFonts w:hint="eastAsia"/>
        </w:rPr>
        <w:t>灌浆料应采用防潮、密封包装，储存于干燥、通风的库房内，储存期限应符合产品说明书要求，过期灌浆料应进行复检，复检不合格的严禁使用。</w:t>
      </w:r>
    </w:p>
    <w:p w14:paraId="52C94338">
      <w:pPr>
        <w:pStyle w:val="165"/>
      </w:pPr>
      <w:r>
        <w:rPr>
          <w:rFonts w:hint="eastAsia"/>
        </w:rPr>
        <w:t>灌浆料拌合用水应符合JGJ 63的规定，严禁使用污水、海水及含有有害物质的水。</w:t>
      </w:r>
    </w:p>
    <w:p w14:paraId="2E90F860">
      <w:pPr>
        <w:pStyle w:val="106"/>
        <w:spacing w:before="120" w:after="120"/>
      </w:pPr>
      <w:bookmarkStart w:id="73" w:name="_Toc224821785"/>
      <w:bookmarkStart w:id="74" w:name="_Toc194879317"/>
      <w:r>
        <w:rPr>
          <w:rFonts w:hint="eastAsia"/>
        </w:rPr>
        <w:t>金属连接件</w:t>
      </w:r>
      <w:bookmarkEnd w:id="73"/>
      <w:bookmarkEnd w:id="74"/>
    </w:p>
    <w:p w14:paraId="0A954C67">
      <w:pPr>
        <w:pStyle w:val="66"/>
        <w:spacing w:before="120" w:after="120"/>
      </w:pPr>
      <w:r>
        <w:rPr>
          <w:rFonts w:hint="eastAsia"/>
        </w:rPr>
        <w:t>套筒</w:t>
      </w:r>
    </w:p>
    <w:p w14:paraId="1CA0B083">
      <w:pPr>
        <w:pStyle w:val="165"/>
      </w:pPr>
      <w:r>
        <w:rPr>
          <w:rFonts w:hint="eastAsia"/>
        </w:rPr>
        <w:t>材质为球墨铸铁（QT450-10）或冷轧无缝钢管（Q345B），壁厚不小于5 mm，内径公差±0.5 mm，长度公差±1.0 mm。</w:t>
      </w:r>
    </w:p>
    <w:p w14:paraId="3A4B767D">
      <w:pPr>
        <w:pStyle w:val="165"/>
      </w:pPr>
      <w:r>
        <w:rPr>
          <w:rFonts w:hint="eastAsia"/>
        </w:rPr>
        <w:t>套筒表面应进行防腐处理，镀锌层厚度不小于 80μm，无漏镀、起皮、锈蚀等缺陷。</w:t>
      </w:r>
    </w:p>
    <w:p w14:paraId="315BBC9D">
      <w:pPr>
        <w:pStyle w:val="165"/>
      </w:pPr>
      <w:r>
        <w:rPr>
          <w:rFonts w:hint="eastAsia"/>
        </w:rPr>
        <w:t>套筒出厂前应进行外观、尺寸、材质检验，检验合格并出具检验报告后方可使用。</w:t>
      </w:r>
    </w:p>
    <w:p w14:paraId="5BA041B1">
      <w:pPr>
        <w:pStyle w:val="66"/>
        <w:spacing w:before="120" w:after="120"/>
      </w:pPr>
      <w:r>
        <w:rPr>
          <w:rFonts w:hint="eastAsia"/>
        </w:rPr>
        <w:t>高强螺栓</w:t>
      </w:r>
    </w:p>
    <w:p w14:paraId="2E0514AB">
      <w:pPr>
        <w:pStyle w:val="165"/>
      </w:pPr>
      <w:r>
        <w:rPr>
          <w:rFonts w:hint="eastAsia"/>
        </w:rPr>
        <w:t>性能等级为8.8级或10.9级，符合GB/T 3098.1要求，扭矩系数为0.11</w:t>
      </w:r>
      <m:oMath>
        <m:r>
          <m:rPr/>
          <w:rPr>
            <w:rFonts w:hint="eastAsia" w:ascii="Cambria Math" w:hAnsi="Cambria Math"/>
          </w:rPr>
          <m:t>~</m:t>
        </m:r>
      </m:oMath>
      <w:r>
        <w:rPr>
          <w:rFonts w:hint="eastAsia"/>
        </w:rPr>
        <w:t>0.15，终拧扭矩值偏差不大于±5%。</w:t>
      </w:r>
    </w:p>
    <w:p w14:paraId="30D37D33">
      <w:pPr>
        <w:pStyle w:val="165"/>
      </w:pPr>
      <w:r>
        <w:rPr>
          <w:rFonts w:hint="eastAsia"/>
        </w:rPr>
        <w:t>高强螺栓连接副（螺栓、螺母、垫圈）应配套供应，表面应进行防腐处理，无裂纹、变形、锈蚀等缺陷。</w:t>
      </w:r>
    </w:p>
    <w:p w14:paraId="1C624C25">
      <w:pPr>
        <w:pStyle w:val="165"/>
      </w:pPr>
      <w:r>
        <w:rPr>
          <w:rFonts w:hint="eastAsia"/>
        </w:rPr>
        <w:t>高强螺栓连接副进场时应进行扭矩系数或抗滑移系数检验，检验合格后方可使用，储存过程中应防止受潮、生锈。</w:t>
      </w:r>
    </w:p>
    <w:p w14:paraId="47DBAFCD">
      <w:pPr>
        <w:pStyle w:val="106"/>
        <w:spacing w:before="120" w:after="120"/>
      </w:pPr>
      <w:bookmarkStart w:id="75" w:name="_Toc224821786"/>
      <w:r>
        <w:rPr>
          <w:rFonts w:hint="eastAsia"/>
        </w:rPr>
        <w:t>后浇混凝土</w:t>
      </w:r>
      <w:bookmarkEnd w:id="75"/>
    </w:p>
    <w:p w14:paraId="48A70772">
      <w:pPr>
        <w:pStyle w:val="166"/>
      </w:pPr>
      <w:r>
        <w:rPr>
          <w:rFonts w:hint="eastAsia"/>
        </w:rPr>
        <w:t>后浇混凝土的强度等级应不低于预制构件的混凝土强度等级，且不应低于C30，混凝土性能应符合GB 50666的规定。</w:t>
      </w:r>
    </w:p>
    <w:p w14:paraId="184659C5">
      <w:pPr>
        <w:pStyle w:val="166"/>
      </w:pPr>
      <w:r>
        <w:rPr>
          <w:rFonts w:hint="eastAsia"/>
        </w:rPr>
        <w:t>后浇混凝土应掺入膨胀剂，膨胀剂的性能应符合相关标准要求，掺量应根据试验确定，确保混凝土补偿收缩率不低于0.025%。</w:t>
      </w:r>
    </w:p>
    <w:p w14:paraId="1C195A0B">
      <w:pPr>
        <w:pStyle w:val="166"/>
      </w:pPr>
      <w:r>
        <w:rPr>
          <w:rFonts w:hint="eastAsia"/>
        </w:rPr>
        <w:t>后浇混凝土所用的细骨料、粗骨料、水泥、掺合料等原材料应符合相关标准要求，进场时应进行检验。</w:t>
      </w:r>
    </w:p>
    <w:p w14:paraId="13F6B725">
      <w:pPr>
        <w:pStyle w:val="105"/>
        <w:spacing w:before="240" w:after="240"/>
      </w:pPr>
      <w:bookmarkStart w:id="76" w:name="_Toc194879318"/>
      <w:bookmarkStart w:id="77" w:name="_Toc224821787"/>
      <w:r>
        <w:rPr>
          <w:rFonts w:hint="eastAsia"/>
        </w:rPr>
        <w:t>设计技术要求</w:t>
      </w:r>
      <w:bookmarkEnd w:id="76"/>
      <w:bookmarkEnd w:id="77"/>
    </w:p>
    <w:p w14:paraId="7ADCC3CE">
      <w:pPr>
        <w:pStyle w:val="106"/>
        <w:spacing w:before="120" w:after="120"/>
      </w:pPr>
      <w:bookmarkStart w:id="78" w:name="_Toc224821788"/>
      <w:bookmarkStart w:id="79" w:name="_Toc194879319"/>
      <w:r>
        <w:rPr>
          <w:rFonts w:hint="eastAsia"/>
        </w:rPr>
        <w:t>连接节点设计原则</w:t>
      </w:r>
      <w:bookmarkEnd w:id="78"/>
      <w:bookmarkEnd w:id="79"/>
    </w:p>
    <w:p w14:paraId="0250ACFA">
      <w:pPr>
        <w:pStyle w:val="66"/>
        <w:spacing w:before="120" w:after="120"/>
      </w:pPr>
      <w:r>
        <w:rPr>
          <w:rFonts w:hint="eastAsia"/>
        </w:rPr>
        <w:t>基本要求</w:t>
      </w:r>
    </w:p>
    <w:p w14:paraId="6C089F1A">
      <w:pPr>
        <w:pStyle w:val="57"/>
        <w:ind w:firstLine="420"/>
      </w:pPr>
      <w:r>
        <w:rPr>
          <w:rFonts w:hint="eastAsia"/>
        </w:rPr>
        <w:t>连接节点设计应满足“等同现浇”原则，确保结构的整体性、抗震性能和耐久性；遵循“强节点、弱构件”理念，节点承载力应高于被连接构件承载力的1.2倍；复杂节点（如框架梁柱节点、剪力墙接缝）应通过实体试验或数值模拟验证。</w:t>
      </w:r>
    </w:p>
    <w:p w14:paraId="21CC8FB3">
      <w:pPr>
        <w:pStyle w:val="66"/>
        <w:spacing w:before="120" w:after="120"/>
      </w:pPr>
      <w:r>
        <w:rPr>
          <w:rFonts w:hint="eastAsia"/>
        </w:rPr>
        <w:t>抗震设计</w:t>
      </w:r>
    </w:p>
    <w:p w14:paraId="3FB19C1F">
      <w:pPr>
        <w:pStyle w:val="57"/>
        <w:ind w:firstLine="420"/>
      </w:pPr>
      <w:r>
        <w:t>抗震设防烈度</w:t>
      </w:r>
      <w:r>
        <w:rPr>
          <w:rFonts w:hint="eastAsia"/>
        </w:rPr>
        <w:t>大于7</w:t>
      </w:r>
      <w:r>
        <w:t>度</w:t>
      </w:r>
      <w:r>
        <w:rPr>
          <w:rFonts w:hint="eastAsia"/>
        </w:rPr>
        <w:t>及以上地区，</w:t>
      </w:r>
      <w:r>
        <w:t>节点核心区应满足以下要求：</w:t>
      </w:r>
    </w:p>
    <w:p w14:paraId="1BBF1FCA">
      <w:pPr>
        <w:pStyle w:val="175"/>
        <w:numPr>
          <w:ilvl w:val="0"/>
          <w:numId w:val="39"/>
        </w:numPr>
      </w:pPr>
      <w:r>
        <w:rPr>
          <w:rFonts w:hint="eastAsia"/>
        </w:rPr>
        <w:t>抗剪承载力应不小于1.15倍梁端弯矩设计值除以节点有效高度；</w:t>
      </w:r>
    </w:p>
    <w:p w14:paraId="0E3349A6">
      <w:pPr>
        <w:pStyle w:val="175"/>
        <w:numPr>
          <w:ilvl w:val="0"/>
          <w:numId w:val="39"/>
        </w:numPr>
      </w:pPr>
      <w:r>
        <w:rPr>
          <w:rFonts w:hint="eastAsia"/>
        </w:rPr>
        <w:t>箍筋体积配箍率不小于1.2%，箍筋间距不大于100 mm；</w:t>
      </w:r>
    </w:p>
    <w:p w14:paraId="609D20CC">
      <w:pPr>
        <w:pStyle w:val="175"/>
        <w:numPr>
          <w:ilvl w:val="0"/>
          <w:numId w:val="39"/>
        </w:numPr>
      </w:pPr>
      <w:r>
        <w:rPr>
          <w:rFonts w:hint="eastAsia"/>
        </w:rPr>
        <w:t>在罕遇地震作用下，节点区允许进入塑性阶段，但残余变形应满足层高H的1/100。</w:t>
      </w:r>
    </w:p>
    <w:p w14:paraId="143AF03F">
      <w:pPr>
        <w:pStyle w:val="66"/>
        <w:spacing w:before="120" w:after="120"/>
      </w:pPr>
      <w:r>
        <w:rPr>
          <w:rFonts w:hint="eastAsia"/>
        </w:rPr>
        <w:t>防火设计</w:t>
      </w:r>
    </w:p>
    <w:p w14:paraId="5972F072">
      <w:pPr>
        <w:pStyle w:val="57"/>
        <w:ind w:firstLine="420"/>
      </w:pPr>
      <w:r>
        <w:rPr>
          <w:rFonts w:hint="eastAsia"/>
        </w:rPr>
        <w:t>连接节点的防火设计应符合现行国家建筑防火标准要求，外露金属连接件应采取防火防护措施，防火保护层厚度应根据建筑耐火等级确定。</w:t>
      </w:r>
    </w:p>
    <w:p w14:paraId="256834A8">
      <w:pPr>
        <w:pStyle w:val="66"/>
        <w:spacing w:before="120" w:after="120"/>
      </w:pPr>
      <w:r>
        <w:rPr>
          <w:rFonts w:hint="eastAsia"/>
        </w:rPr>
        <w:t>施工操作空间设计</w:t>
      </w:r>
    </w:p>
    <w:p w14:paraId="678C8D50">
      <w:pPr>
        <w:pStyle w:val="57"/>
        <w:ind w:firstLine="420"/>
      </w:pPr>
      <w:r>
        <w:rPr>
          <w:rFonts w:hint="eastAsia"/>
        </w:rPr>
        <w:t>连接节点设计应兼顾施工操作空间，确保灌浆、螺栓紧固、混凝土浇筑等施工工序可顺利实施，提高施工效率。</w:t>
      </w:r>
    </w:p>
    <w:p w14:paraId="0700147E">
      <w:pPr>
        <w:pStyle w:val="106"/>
        <w:spacing w:before="120" w:after="120"/>
      </w:pPr>
      <w:bookmarkStart w:id="80" w:name="_Toc194879320"/>
      <w:bookmarkStart w:id="81" w:name="_Toc224821789"/>
      <w:r>
        <w:rPr>
          <w:rFonts w:hint="eastAsia"/>
        </w:rPr>
        <w:t>分项连接技术设计要求</w:t>
      </w:r>
      <w:bookmarkEnd w:id="80"/>
      <w:bookmarkEnd w:id="81"/>
    </w:p>
    <w:p w14:paraId="291EEC35">
      <w:pPr>
        <w:pStyle w:val="66"/>
        <w:spacing w:before="120" w:after="120"/>
      </w:pPr>
      <w:r>
        <w:rPr>
          <w:rFonts w:hint="eastAsia"/>
        </w:rPr>
        <w:t>钢筋套筒灌浆连接</w:t>
      </w:r>
    </w:p>
    <w:p w14:paraId="22587D34">
      <w:pPr>
        <w:pStyle w:val="165"/>
      </w:pPr>
      <w:r>
        <w:rPr>
          <w:rFonts w:hint="eastAsia"/>
        </w:rPr>
        <w:t>钢筋套筒灌浆连接应确保连接强度和构造要求。套筒内径与钢筋直径应匹配，套筒埋深应满足设计要求。</w:t>
      </w:r>
    </w:p>
    <w:p w14:paraId="4406D37B">
      <w:pPr>
        <w:pStyle w:val="165"/>
      </w:pPr>
      <w:r>
        <w:rPr>
          <w:rFonts w:hint="eastAsia"/>
        </w:rPr>
        <w:t>钢筋套筒灌浆连接的钢筋锚固长度不应小于8d（d为钢筋直径），套筒两端钢筋插入长度应均匀，偏差不应大于5mm。</w:t>
      </w:r>
    </w:p>
    <w:p w14:paraId="64C56281">
      <w:pPr>
        <w:pStyle w:val="165"/>
      </w:pPr>
      <w:r>
        <w:rPr>
          <w:rFonts w:hint="eastAsia"/>
        </w:rPr>
        <w:t>套筒布置应避免应力集中，相邻套筒中心间距不应小于3倍套筒外径，且不应小于50mm。</w:t>
      </w:r>
    </w:p>
    <w:p w14:paraId="37C80676">
      <w:pPr>
        <w:pStyle w:val="66"/>
        <w:spacing w:before="120" w:after="120"/>
      </w:pPr>
      <w:r>
        <w:rPr>
          <w:rFonts w:hint="eastAsia"/>
        </w:rPr>
        <w:t>螺栓连接</w:t>
      </w:r>
    </w:p>
    <w:p w14:paraId="0FACBD27">
      <w:pPr>
        <w:pStyle w:val="165"/>
      </w:pPr>
      <w:r>
        <w:rPr>
          <w:rFonts w:hint="eastAsia"/>
        </w:rPr>
        <w:t>高强螺栓连接应具备足够的抗剪和抗拉承载力。螺栓孔位公差应严格控制，以确保安装精度。</w:t>
      </w:r>
    </w:p>
    <w:p w14:paraId="4D447279">
      <w:pPr>
        <w:pStyle w:val="165"/>
      </w:pPr>
      <w:r>
        <w:rPr>
          <w:rFonts w:hint="eastAsia"/>
        </w:rPr>
        <w:t>高强螺栓的布置应符合受力均匀性要求，螺栓中心间距、边距、端距应符合相关标准要求，严禁在螺栓孔周围进行气割、焊接作业。</w:t>
      </w:r>
    </w:p>
    <w:p w14:paraId="6D7AE5BC">
      <w:pPr>
        <w:pStyle w:val="165"/>
      </w:pPr>
      <w:r>
        <w:rPr>
          <w:rFonts w:hint="eastAsia"/>
        </w:rPr>
        <w:t>干式螺栓连接节点应设置防松脱装置（如弹垫圈、防松螺母等），并考虑温度变形、混凝土收缩徐变引起的节点变形，设置伸缩缝或变形补偿措施。</w:t>
      </w:r>
    </w:p>
    <w:p w14:paraId="70E1444D">
      <w:pPr>
        <w:pStyle w:val="66"/>
        <w:spacing w:before="120" w:after="120"/>
      </w:pPr>
      <w:r>
        <w:rPr>
          <w:rFonts w:hint="eastAsia"/>
        </w:rPr>
        <w:t>后浇混凝土连接</w:t>
      </w:r>
    </w:p>
    <w:p w14:paraId="0D063496">
      <w:pPr>
        <w:pStyle w:val="165"/>
      </w:pPr>
      <w:r>
        <w:rPr>
          <w:rFonts w:hint="eastAsia"/>
        </w:rPr>
        <w:t>后浇混凝土连接应具备良好的界面抗剪性能。键槽深度和间距应满足设计要求，以确保连接的可靠性。</w:t>
      </w:r>
    </w:p>
    <w:p w14:paraId="57A00750">
      <w:pPr>
        <w:pStyle w:val="165"/>
      </w:pPr>
      <w:r>
        <w:rPr>
          <w:rFonts w:hint="eastAsia"/>
        </w:rPr>
        <w:t>后浇混凝土连接的预制构件结合面应设置键槽或企口，键槽深度不应小于20mm，宽度不应小于30mm，键槽间距不应大于500mm。</w:t>
      </w:r>
    </w:p>
    <w:p w14:paraId="56B0EF1C">
      <w:pPr>
        <w:pStyle w:val="165"/>
      </w:pPr>
      <w:r>
        <w:t>后浇混凝土区域的钢筋搭接长度应符合JGJ 18的规定，且不应小于300mm，搭接区域应设置箍筋加密区，箍筋间距不应大于100mm。</w:t>
      </w:r>
    </w:p>
    <w:p w14:paraId="421C26A6">
      <w:pPr>
        <w:pStyle w:val="106"/>
        <w:spacing w:before="120" w:after="120"/>
      </w:pPr>
      <w:bookmarkStart w:id="82" w:name="_Toc194879321"/>
      <w:bookmarkStart w:id="83" w:name="_Toc224821790"/>
      <w:r>
        <w:rPr>
          <w:rFonts w:hint="eastAsia"/>
        </w:rPr>
        <w:t>特殊工况设计</w:t>
      </w:r>
      <w:bookmarkEnd w:id="82"/>
      <w:bookmarkEnd w:id="83"/>
    </w:p>
    <w:p w14:paraId="4D038512">
      <w:pPr>
        <w:pStyle w:val="166"/>
      </w:pPr>
      <w:r>
        <w:rPr>
          <w:rFonts w:hint="eastAsia"/>
        </w:rPr>
        <w:t>对于大直径钢筋连接和异形构件连接，应采用适当的工艺和技术措施，确保连接的可靠性和施工的可行性。非标连接件应进行相关试验验证。</w:t>
      </w:r>
    </w:p>
    <w:p w14:paraId="6069A16E">
      <w:pPr>
        <w:pStyle w:val="166"/>
      </w:pPr>
      <w:r>
        <w:rPr>
          <w:rFonts w:hint="eastAsia"/>
        </w:rPr>
        <w:t>高温、低温、高湿、海洋性气候等特殊环境下的连接节点，应采取以下针对性措施：</w:t>
      </w:r>
    </w:p>
    <w:p w14:paraId="29B5A2FD">
      <w:pPr>
        <w:pStyle w:val="175"/>
        <w:numPr>
          <w:ilvl w:val="0"/>
          <w:numId w:val="40"/>
        </w:numPr>
      </w:pPr>
      <w:r>
        <w:rPr>
          <w:rFonts w:hint="eastAsia"/>
        </w:rPr>
        <w:t>高温环境：选用耐高温灌浆料、防腐性能优异的金属连接件，设置隔热层；</w:t>
      </w:r>
    </w:p>
    <w:p w14:paraId="39EDA4B0">
      <w:pPr>
        <w:pStyle w:val="175"/>
        <w:numPr>
          <w:ilvl w:val="0"/>
          <w:numId w:val="40"/>
        </w:numPr>
      </w:pPr>
      <w:r>
        <w:rPr>
          <w:rFonts w:hint="eastAsia"/>
        </w:rPr>
        <w:t>低温环境：选用抗冻型灌浆料，金属连接件采取防冻、防腐措施；</w:t>
      </w:r>
    </w:p>
    <w:p w14:paraId="1D228074">
      <w:pPr>
        <w:pStyle w:val="175"/>
        <w:numPr>
          <w:ilvl w:val="0"/>
          <w:numId w:val="40"/>
        </w:numPr>
      </w:pPr>
      <w:r>
        <w:rPr>
          <w:rFonts w:hint="eastAsia"/>
        </w:rPr>
        <w:t>海洋性气候：选用海工型灌浆料，金属连接件采取重防腐措施，灌浆料氯离子含量应控制在 0.02%以内。</w:t>
      </w:r>
    </w:p>
    <w:p w14:paraId="450B978F">
      <w:pPr>
        <w:pStyle w:val="166"/>
      </w:pPr>
      <w:r>
        <w:rPr>
          <w:rFonts w:hint="eastAsia"/>
        </w:rPr>
        <w:t>高空、大跨度装配式混凝土结构的连接节点，应进行抗风、抗振验算，采取临时加固措施，确保施工过程中的结构稳定性。</w:t>
      </w:r>
    </w:p>
    <w:p w14:paraId="1B14EA6B">
      <w:pPr>
        <w:pStyle w:val="106"/>
        <w:spacing w:before="120" w:after="120"/>
      </w:pPr>
      <w:bookmarkStart w:id="84" w:name="_Toc224821791"/>
      <w:bookmarkStart w:id="85" w:name="_Toc194879322"/>
      <w:r>
        <w:rPr>
          <w:rFonts w:hint="eastAsia"/>
        </w:rPr>
        <w:t>与其他系统协调设计</w:t>
      </w:r>
      <w:bookmarkEnd w:id="84"/>
      <w:bookmarkEnd w:id="85"/>
    </w:p>
    <w:p w14:paraId="0C71CD69">
      <w:pPr>
        <w:pStyle w:val="166"/>
      </w:pPr>
      <w:r>
        <w:rPr>
          <w:rFonts w:hint="eastAsia"/>
        </w:rPr>
        <w:t>穿越连接节点的水电管线应合理布置，确保不影响结构性能。管线密集区域应采用加强型连接节点。外露金属连接件应具备良好的防火和防腐性能。</w:t>
      </w:r>
    </w:p>
    <w:p w14:paraId="667C523D">
      <w:pPr>
        <w:pStyle w:val="166"/>
      </w:pPr>
      <w:r>
        <w:rPr>
          <w:rFonts w:hint="eastAsia"/>
        </w:rPr>
        <w:t>水电管线应避免穿越节点核心区，确需穿越时，应采用套管保护，套管与混凝土之间应采取密封措施，严禁削弱节点截面尺寸。</w:t>
      </w:r>
    </w:p>
    <w:p w14:paraId="6E822138">
      <w:pPr>
        <w:pStyle w:val="166"/>
      </w:pPr>
      <w:r>
        <w:rPr>
          <w:rFonts w:hint="eastAsia"/>
        </w:rPr>
        <w:t>通风、消防等管线与连接节点冲突时，应通过BIM模型进行优化设计，调整管线走向或节点构造，确保结构性能和管线使用功能。</w:t>
      </w:r>
    </w:p>
    <w:p w14:paraId="5B966FC8">
      <w:pPr>
        <w:pStyle w:val="166"/>
      </w:pPr>
      <w:r>
        <w:rPr>
          <w:rFonts w:hint="eastAsia"/>
        </w:rPr>
        <w:t>饰装修层与连接节点的连接应牢固可靠，不应影响节点的受力性能和检测维修，装饰装修施工不应损伤连接节点和预埋件。</w:t>
      </w:r>
    </w:p>
    <w:p w14:paraId="04E1F403">
      <w:pPr>
        <w:pStyle w:val="105"/>
        <w:spacing w:before="240" w:after="240"/>
      </w:pPr>
      <w:bookmarkStart w:id="86" w:name="_Toc194879323"/>
      <w:bookmarkStart w:id="87" w:name="_Toc224821792"/>
      <w:r>
        <w:rPr>
          <w:rFonts w:hint="eastAsia"/>
        </w:rPr>
        <w:t>施工工艺</w:t>
      </w:r>
      <w:bookmarkEnd w:id="86"/>
      <w:bookmarkEnd w:id="87"/>
    </w:p>
    <w:p w14:paraId="6B5AD9C6">
      <w:pPr>
        <w:pStyle w:val="106"/>
        <w:spacing w:before="120" w:after="120"/>
      </w:pPr>
      <w:bookmarkStart w:id="88" w:name="_Toc194879324"/>
      <w:bookmarkStart w:id="89" w:name="_Toc224821793"/>
      <w:r>
        <w:rPr>
          <w:rFonts w:hint="eastAsia"/>
        </w:rPr>
        <w:t>通用施工流程</w:t>
      </w:r>
      <w:bookmarkEnd w:id="88"/>
      <w:bookmarkEnd w:id="89"/>
    </w:p>
    <w:p w14:paraId="17617419">
      <w:pPr>
        <w:pStyle w:val="66"/>
        <w:spacing w:before="120" w:after="120"/>
      </w:pPr>
      <w:r>
        <w:rPr>
          <w:rFonts w:hint="eastAsia"/>
        </w:rPr>
        <w:t>施工准备</w:t>
      </w:r>
    </w:p>
    <w:p w14:paraId="10AF9D9B">
      <w:pPr>
        <w:pStyle w:val="165"/>
      </w:pPr>
      <w:r>
        <w:rPr>
          <w:rFonts w:hint="eastAsia"/>
        </w:rPr>
        <w:t>检查套筒内径通规通过率不低于98%，螺栓孔位偏差不大于2 mm，核查灌浆料出厂合格证。</w:t>
      </w:r>
    </w:p>
    <w:p w14:paraId="15CDB722">
      <w:pPr>
        <w:pStyle w:val="165"/>
      </w:pPr>
      <w:r>
        <w:rPr>
          <w:rFonts w:hint="eastAsia"/>
        </w:rPr>
        <w:t>施工设备（灌浆机、电动扳手、吊装设备等）应进行进场检验和调试，确保设备性能良好，计量设备（电子秤、扭矩扳手等）应定期标定，确保精度。</w:t>
      </w:r>
    </w:p>
    <w:p w14:paraId="3C3DF177">
      <w:pPr>
        <w:pStyle w:val="66"/>
        <w:spacing w:before="120" w:after="120"/>
      </w:pPr>
      <w:r>
        <w:rPr>
          <w:rFonts w:hint="eastAsia"/>
        </w:rPr>
        <w:t>现场布置</w:t>
      </w:r>
    </w:p>
    <w:p w14:paraId="2F6537E0">
      <w:pPr>
        <w:pStyle w:val="165"/>
      </w:pPr>
      <w:r>
        <w:rPr>
          <w:rFonts w:hint="eastAsia"/>
        </w:rPr>
        <w:t>设置独立灌浆料搅拌区，构件堆放层数不超过4层，垫木间距不大于1.5m。</w:t>
      </w:r>
    </w:p>
    <w:p w14:paraId="642F51A0">
      <w:pPr>
        <w:pStyle w:val="165"/>
      </w:pPr>
      <w:r>
        <w:rPr>
          <w:rFonts w:hint="eastAsia"/>
        </w:rPr>
        <w:t>施工现场应设置临时供水、供电、通风设施，满足施工操作和安全环保要求。</w:t>
      </w:r>
    </w:p>
    <w:p w14:paraId="591D5774">
      <w:pPr>
        <w:pStyle w:val="66"/>
        <w:spacing w:before="120" w:after="120"/>
      </w:pPr>
      <w:r>
        <w:rPr>
          <w:rFonts w:hint="eastAsia"/>
        </w:rPr>
        <w:t xml:space="preserve"> 技术交底</w:t>
      </w:r>
    </w:p>
    <w:p w14:paraId="55B0D721">
      <w:pPr>
        <w:pStyle w:val="165"/>
      </w:pPr>
      <w:r>
        <w:rPr>
          <w:rFonts w:hint="eastAsia"/>
        </w:rPr>
        <w:t>作业人员需通过灌浆连接专项培训，持证上岗，对于复杂节点应制作1:1实体样板。</w:t>
      </w:r>
    </w:p>
    <w:p w14:paraId="4CA37588">
      <w:pPr>
        <w:pStyle w:val="165"/>
      </w:pPr>
      <w:r>
        <w:rPr>
          <w:rFonts w:hint="eastAsia"/>
        </w:rPr>
        <w:t>实体样板施工完成后，应进行质量检验和验收，验收合格后方可进行大面积施工，样板应保留至工程竣工验收。</w:t>
      </w:r>
    </w:p>
    <w:p w14:paraId="7C39EC98">
      <w:pPr>
        <w:pStyle w:val="106"/>
        <w:spacing w:before="120" w:after="120"/>
      </w:pPr>
      <w:bookmarkStart w:id="90" w:name="_Toc194879325"/>
      <w:bookmarkStart w:id="91" w:name="_Toc224821794"/>
      <w:r>
        <w:rPr>
          <w:rFonts w:hint="eastAsia"/>
        </w:rPr>
        <w:t>分项施工工艺</w:t>
      </w:r>
      <w:bookmarkEnd w:id="90"/>
      <w:bookmarkEnd w:id="91"/>
    </w:p>
    <w:p w14:paraId="55367ABA">
      <w:pPr>
        <w:pStyle w:val="66"/>
        <w:spacing w:before="120" w:after="120"/>
      </w:pPr>
      <w:r>
        <w:rPr>
          <w:rFonts w:hint="eastAsia"/>
        </w:rPr>
        <w:t>钢筋套筒灌浆连接</w:t>
      </w:r>
    </w:p>
    <w:p w14:paraId="260F26FC">
      <w:pPr>
        <w:pStyle w:val="95"/>
        <w:spacing w:before="120" w:after="120"/>
      </w:pPr>
      <w:r>
        <w:rPr>
          <w:rFonts w:hint="eastAsia"/>
        </w:rPr>
        <w:t>水料比控制</w:t>
      </w:r>
    </w:p>
    <w:p w14:paraId="2E575D3A">
      <w:pPr>
        <w:pStyle w:val="57"/>
        <w:ind w:firstLine="420"/>
      </w:pPr>
      <w:r>
        <w:t>水料比</w:t>
      </w:r>
      <w:r>
        <w:rPr>
          <w:rFonts w:hint="eastAsia"/>
        </w:rPr>
        <w:t>应</w:t>
      </w:r>
      <w:r>
        <w:t>控制</w:t>
      </w:r>
      <w:r>
        <w:rPr>
          <w:rFonts w:hint="eastAsia"/>
        </w:rPr>
        <w:t>在</w:t>
      </w:r>
      <w:r>
        <w:t>0.12</w:t>
      </w:r>
      <m:oMath>
        <m:r>
          <m:rPr/>
          <w:rPr>
            <w:rFonts w:ascii="Cambria Math" w:hAnsi="Cambria Math"/>
          </w:rPr>
          <m:t>~</m:t>
        </m:r>
      </m:oMath>
      <w:r>
        <w:t>0.14</w:t>
      </w:r>
      <w:r>
        <w:rPr>
          <w:rFonts w:hint="eastAsia"/>
        </w:rPr>
        <w:t>范围内</w:t>
      </w:r>
      <w:r>
        <w:t>（电子秤计量误差</w:t>
      </w:r>
      <w:r>
        <w:rPr>
          <w:rFonts w:hint="eastAsia"/>
        </w:rPr>
        <w:t>不大于</w:t>
      </w:r>
      <w:r>
        <w:t>±1%）</w:t>
      </w:r>
      <w:r>
        <w:rPr>
          <w:rFonts w:hint="eastAsia"/>
        </w:rPr>
        <w:t>。</w:t>
      </w:r>
    </w:p>
    <w:p w14:paraId="68A03F14">
      <w:pPr>
        <w:pStyle w:val="95"/>
        <w:spacing w:before="120" w:after="120"/>
      </w:pPr>
      <w:r>
        <w:rPr>
          <w:rFonts w:hint="eastAsia"/>
        </w:rPr>
        <w:t>灌浆操作</w:t>
      </w:r>
    </w:p>
    <w:p w14:paraId="66A0C744">
      <w:pPr>
        <w:pStyle w:val="165"/>
        <w:numPr>
          <w:ilvl w:val="0"/>
          <w:numId w:val="0"/>
        </w:numPr>
        <w:ind w:firstLine="630" w:firstLineChars="300"/>
      </w:pPr>
      <w:r>
        <w:t>灌浆顺序</w:t>
      </w:r>
      <w:r>
        <w:rPr>
          <w:rFonts w:hint="eastAsia"/>
        </w:rPr>
        <w:t>应为</w:t>
      </w:r>
      <w:r>
        <w:t>竖向构件（墙、柱）自下而上，水平构件（梁、板）从一端向另一端；</w:t>
      </w:r>
      <w:r>
        <w:rPr>
          <w:rFonts w:hint="eastAsia"/>
        </w:rPr>
        <w:t>灌浆途中</w:t>
      </w:r>
      <w:r>
        <w:t>压力控制</w:t>
      </w:r>
      <w:r>
        <w:rPr>
          <w:rFonts w:hint="eastAsia"/>
        </w:rPr>
        <w:t>应遵循</w:t>
      </w:r>
      <w:r>
        <w:t>初始压力0.2</w:t>
      </w:r>
      <w:r>
        <w:rPr>
          <w:rFonts w:hint="eastAsia"/>
        </w:rPr>
        <w:t xml:space="preserve"> </w:t>
      </w:r>
      <w:r>
        <w:t>MPa维持至溢流孔连续流出无气泡浆体</w:t>
      </w:r>
      <w:r>
        <w:rPr>
          <w:rFonts w:hint="eastAsia"/>
        </w:rPr>
        <w:t>的原则</w:t>
      </w:r>
      <w:r>
        <w:t>；溢流孔出浆后持压30s</w:t>
      </w:r>
      <w:r>
        <w:rPr>
          <w:rFonts w:hint="eastAsia"/>
        </w:rPr>
        <w:t>后</w:t>
      </w:r>
      <w:r>
        <w:t>，</w:t>
      </w:r>
      <w:r>
        <w:rPr>
          <w:rFonts w:hint="eastAsia"/>
        </w:rPr>
        <w:t>应</w:t>
      </w:r>
      <w:r>
        <w:t>封闭注浆孔与溢流孔。</w:t>
      </w:r>
    </w:p>
    <w:p w14:paraId="41097636">
      <w:pPr>
        <w:pStyle w:val="95"/>
        <w:spacing w:before="120" w:after="120"/>
      </w:pPr>
      <w:r>
        <w:rPr>
          <w:rFonts w:hint="eastAsia"/>
        </w:rPr>
        <w:t>养护与保护</w:t>
      </w:r>
    </w:p>
    <w:p w14:paraId="2308CEC9">
      <w:pPr>
        <w:pStyle w:val="57"/>
        <w:ind w:firstLine="619" w:firstLineChars="295"/>
      </w:pPr>
      <w:r>
        <w:t>灌浆后24h内</w:t>
      </w:r>
      <w:r>
        <w:rPr>
          <w:rFonts w:hint="eastAsia"/>
        </w:rPr>
        <w:t>应严禁</w:t>
      </w:r>
      <w:r>
        <w:t>扰动，环境温度低于5</w:t>
      </w:r>
      <w:r>
        <w:rPr>
          <w:rFonts w:hint="eastAsia"/>
        </w:rPr>
        <w:t xml:space="preserve"> </w:t>
      </w:r>
      <w:r>
        <w:t>℃时</w:t>
      </w:r>
      <w:r>
        <w:rPr>
          <w:rFonts w:hint="eastAsia"/>
        </w:rPr>
        <w:t>应</w:t>
      </w:r>
      <w:r>
        <w:t>采用电热毯保温（表面温度</w:t>
      </w:r>
      <w:r>
        <w:rPr>
          <w:rFonts w:hint="eastAsia"/>
        </w:rPr>
        <w:t>不小于</w:t>
      </w:r>
      <w:r>
        <w:t>40</w:t>
      </w:r>
      <w:r>
        <w:rPr>
          <w:rFonts w:hint="eastAsia"/>
        </w:rPr>
        <w:t xml:space="preserve"> </w:t>
      </w:r>
      <w:r>
        <w:t>℃）</w:t>
      </w:r>
      <w:r>
        <w:rPr>
          <w:rFonts w:hint="eastAsia"/>
        </w:rPr>
        <w:t>。</w:t>
      </w:r>
      <w:r>
        <w:t>灌浆完成72h后</w:t>
      </w:r>
      <w:r>
        <w:rPr>
          <w:rFonts w:hint="eastAsia"/>
        </w:rPr>
        <w:t>应</w:t>
      </w:r>
      <w:r>
        <w:t>拆除临时支撑。</w:t>
      </w:r>
    </w:p>
    <w:p w14:paraId="23F1AE57">
      <w:pPr>
        <w:pStyle w:val="66"/>
        <w:spacing w:before="120" w:after="120"/>
      </w:pPr>
      <w:r>
        <w:rPr>
          <w:rFonts w:hint="eastAsia"/>
        </w:rPr>
        <w:t>高强螺栓连接</w:t>
      </w:r>
    </w:p>
    <w:p w14:paraId="09BA17BA">
      <w:pPr>
        <w:pStyle w:val="95"/>
        <w:spacing w:before="120" w:after="120"/>
      </w:pPr>
      <w:r>
        <w:rPr>
          <w:rFonts w:hint="eastAsia"/>
        </w:rPr>
        <w:t>摩擦面处理</w:t>
      </w:r>
    </w:p>
    <w:p w14:paraId="432CDF0F">
      <w:pPr>
        <w:pStyle w:val="57"/>
        <w:ind w:firstLine="420"/>
      </w:pPr>
      <w:r>
        <w:rPr>
          <w:rFonts w:hint="eastAsia"/>
        </w:rPr>
        <w:t>喷砂除锈至Sa2.5级，粗糙度Ra应为50μ</w:t>
      </w:r>
      <w:r>
        <w:t>m</w:t>
      </w:r>
      <m:oMath>
        <m:r>
          <m:rPr/>
          <w:rPr>
            <w:rFonts w:hint="eastAsia" w:ascii="Cambria Math" w:hAnsi="Cambria Math"/>
          </w:rPr>
          <m:t>~</m:t>
        </m:r>
      </m:oMath>
      <w:r>
        <w:rPr>
          <w:rFonts w:hint="eastAsia"/>
        </w:rPr>
        <w:t>100μm。安装前应用丙酮擦拭，严禁沾染油污、水渍。</w:t>
      </w:r>
    </w:p>
    <w:p w14:paraId="2B762DE6">
      <w:pPr>
        <w:pStyle w:val="95"/>
        <w:spacing w:before="120" w:after="120"/>
      </w:pPr>
      <w:r>
        <w:rPr>
          <w:rFonts w:hint="eastAsia"/>
        </w:rPr>
        <w:t>螺栓紧固</w:t>
      </w:r>
    </w:p>
    <w:p w14:paraId="6FCB9629">
      <w:pPr>
        <w:pStyle w:val="57"/>
        <w:ind w:firstLine="420"/>
      </w:pPr>
      <w:r>
        <w:rPr>
          <w:rFonts w:hint="eastAsia"/>
        </w:rPr>
        <w:t>螺栓紧固包括以下内容：</w:t>
      </w:r>
    </w:p>
    <w:p w14:paraId="704C9947">
      <w:pPr>
        <w:pStyle w:val="175"/>
        <w:numPr>
          <w:ilvl w:val="0"/>
          <w:numId w:val="41"/>
        </w:numPr>
      </w:pPr>
      <w:r>
        <w:t>初拧</w:t>
      </w:r>
      <w:r>
        <w:rPr>
          <w:rFonts w:hint="eastAsia"/>
        </w:rPr>
        <w:t>时，</w:t>
      </w:r>
      <w:r>
        <w:t>按终拧扭矩的50%进行，</w:t>
      </w:r>
      <w:r>
        <w:rPr>
          <w:rFonts w:hint="eastAsia"/>
        </w:rPr>
        <w:t>应</w:t>
      </w:r>
      <w:r>
        <w:t>采用电动扳手对称施拧；</w:t>
      </w:r>
    </w:p>
    <w:p w14:paraId="45A138B2">
      <w:pPr>
        <w:pStyle w:val="175"/>
        <w:numPr>
          <w:ilvl w:val="0"/>
          <w:numId w:val="41"/>
        </w:numPr>
      </w:pPr>
      <w:r>
        <w:t>终拧</w:t>
      </w:r>
      <w:r>
        <w:rPr>
          <w:rFonts w:hint="eastAsia"/>
        </w:rPr>
        <w:t>时，应在</w:t>
      </w:r>
      <w:r>
        <w:t>24h内完成，扭矩偏差</w:t>
      </w:r>
      <w:r>
        <w:rPr>
          <w:rFonts w:hint="eastAsia"/>
        </w:rPr>
        <w:t>应小于等于</w:t>
      </w:r>
      <w:r>
        <w:t>±5%，</w:t>
      </w:r>
      <w:r>
        <w:rPr>
          <w:rFonts w:hint="eastAsia"/>
        </w:rPr>
        <w:t>同时采用</w:t>
      </w:r>
      <w:r>
        <w:t>标记法检查漏拧；</w:t>
      </w:r>
    </w:p>
    <w:p w14:paraId="5508E0E6">
      <w:pPr>
        <w:pStyle w:val="175"/>
        <w:numPr>
          <w:ilvl w:val="0"/>
          <w:numId w:val="41"/>
        </w:numPr>
      </w:pPr>
      <w:r>
        <w:t>复查</w:t>
      </w:r>
      <w:r>
        <w:rPr>
          <w:rFonts w:hint="eastAsia"/>
        </w:rPr>
        <w:t>时，应在</w:t>
      </w:r>
      <w:r>
        <w:t>终拧后48h内抽检10%（不少于10个节点），扭矩衰减率</w:t>
      </w:r>
      <w:r>
        <w:rPr>
          <w:rFonts w:hint="eastAsia"/>
        </w:rPr>
        <w:t>应小于等于</w:t>
      </w:r>
      <w:r>
        <w:t>5%</w:t>
      </w:r>
      <w:r>
        <w:rPr>
          <w:rFonts w:hint="eastAsia"/>
        </w:rPr>
        <w:t>。</w:t>
      </w:r>
    </w:p>
    <w:p w14:paraId="50A8C865">
      <w:pPr>
        <w:pStyle w:val="95"/>
        <w:spacing w:before="120" w:after="120"/>
      </w:pPr>
      <w:r>
        <w:rPr>
          <w:rFonts w:hint="eastAsia"/>
        </w:rPr>
        <w:t>防腐处理</w:t>
      </w:r>
    </w:p>
    <w:p w14:paraId="761CB9A8">
      <w:pPr>
        <w:pStyle w:val="168"/>
        <w:rPr>
          <w:rFonts w:hint="eastAsia"/>
        </w:rPr>
      </w:pPr>
      <w:r>
        <w:t>外露螺纹</w:t>
      </w:r>
      <w:r>
        <w:rPr>
          <w:rFonts w:hint="eastAsia"/>
        </w:rPr>
        <w:t>应</w:t>
      </w:r>
      <w:r>
        <w:t>涂抹二硫化钼润滑脂，螺栓头</w:t>
      </w:r>
      <w:r>
        <w:rPr>
          <w:rFonts w:hint="eastAsia"/>
        </w:rPr>
        <w:t>应</w:t>
      </w:r>
      <w:r>
        <w:t>安装热缩护套</w:t>
      </w:r>
      <w:r>
        <w:rPr>
          <w:rFonts w:hint="eastAsia"/>
        </w:rPr>
        <w:t>，</w:t>
      </w:r>
      <w:r>
        <w:t>接触缝隙</w:t>
      </w:r>
      <w:r>
        <w:rPr>
          <w:rFonts w:hint="eastAsia"/>
        </w:rPr>
        <w:t>应</w:t>
      </w:r>
      <w:r>
        <w:t>注入</w:t>
      </w:r>
      <w:r>
        <w:rPr>
          <w:rFonts w:hint="eastAsia"/>
        </w:rPr>
        <w:t>厚度不小于2 mm的</w:t>
      </w:r>
      <w:r>
        <w:t>环氧树脂密封胶。</w:t>
      </w:r>
    </w:p>
    <w:p w14:paraId="57102E3C">
      <w:pPr>
        <w:pStyle w:val="168"/>
        <w:rPr>
          <w:rFonts w:hint="eastAsia"/>
        </w:rPr>
      </w:pPr>
      <w:r>
        <w:rPr>
          <w:rFonts w:hint="eastAsia"/>
        </w:rPr>
        <w:t>防腐处理应在螺栓紧固复查合格后进行，防腐材料应涂抹均匀、密实，无漏涂、起皮现象，热缩护套应紧贴螺栓头，无松动、开裂现象。</w:t>
      </w:r>
    </w:p>
    <w:p w14:paraId="470B629C">
      <w:pPr>
        <w:pStyle w:val="66"/>
        <w:spacing w:before="120" w:after="120"/>
      </w:pPr>
      <w:r>
        <w:rPr>
          <w:rFonts w:hint="eastAsia"/>
        </w:rPr>
        <w:t>后浇混凝土连接</w:t>
      </w:r>
    </w:p>
    <w:p w14:paraId="1AD2C8D3">
      <w:pPr>
        <w:pStyle w:val="95"/>
        <w:spacing w:before="120" w:after="120"/>
      </w:pPr>
      <w:r>
        <w:rPr>
          <w:rFonts w:hint="eastAsia"/>
        </w:rPr>
        <w:t>界面处理</w:t>
      </w:r>
    </w:p>
    <w:p w14:paraId="236F0B70">
      <w:pPr>
        <w:pStyle w:val="57"/>
        <w:ind w:firstLine="420"/>
      </w:pPr>
      <w:r>
        <w:rPr>
          <w:rFonts w:hint="eastAsia"/>
        </w:rPr>
        <w:t>界面处理主要包括以下内容：</w:t>
      </w:r>
    </w:p>
    <w:p w14:paraId="761697C8">
      <w:pPr>
        <w:pStyle w:val="175"/>
        <w:numPr>
          <w:ilvl w:val="0"/>
          <w:numId w:val="42"/>
        </w:numPr>
      </w:pPr>
      <w:r>
        <w:rPr>
          <w:rFonts w:hint="eastAsia"/>
        </w:rPr>
        <w:t>凿毛处理，应采用机械凿毛，确保凿毛深度不小于3 mm，凿毛面积应达到80%以上；</w:t>
      </w:r>
    </w:p>
    <w:p w14:paraId="15ABEA22">
      <w:pPr>
        <w:pStyle w:val="175"/>
        <w:numPr>
          <w:ilvl w:val="0"/>
          <w:numId w:val="42"/>
        </w:numPr>
      </w:pPr>
      <w:r>
        <w:rPr>
          <w:rFonts w:hint="eastAsia"/>
        </w:rPr>
        <w:t>凿毛处理完成后，应清理界面的浮渣、灰尘，采用高压水冲洗干净，待界面干燥后再涂刷界面剂；</w:t>
      </w:r>
    </w:p>
    <w:p w14:paraId="5BC9DA87">
      <w:pPr>
        <w:pStyle w:val="175"/>
        <w:numPr>
          <w:ilvl w:val="0"/>
          <w:numId w:val="42"/>
        </w:numPr>
      </w:pPr>
      <w:r>
        <w:rPr>
          <w:rFonts w:hint="eastAsia"/>
        </w:rPr>
        <w:t>界面剂涂刷，界面剂应均匀覆盖在处理后的表面上，涂刷完成后应在30分钟内进行混凝土浇筑；</w:t>
      </w:r>
    </w:p>
    <w:p w14:paraId="7283D599">
      <w:pPr>
        <w:pStyle w:val="175"/>
        <w:numPr>
          <w:ilvl w:val="0"/>
          <w:numId w:val="42"/>
        </w:numPr>
      </w:pPr>
      <w:r>
        <w:t>界面剂应按产品说明书的要求进行拌合，涂刷厚度应均匀，不应小于0.5mm，严禁漏涂</w:t>
      </w:r>
      <w:r>
        <w:rPr>
          <w:rFonts w:hint="eastAsia"/>
        </w:rPr>
        <w:t>。</w:t>
      </w:r>
    </w:p>
    <w:p w14:paraId="69D14515">
      <w:pPr>
        <w:pStyle w:val="95"/>
        <w:spacing w:before="120" w:after="120"/>
      </w:pPr>
      <w:r>
        <w:rPr>
          <w:rFonts w:hint="eastAsia"/>
        </w:rPr>
        <w:t>混凝土浇筑</w:t>
      </w:r>
    </w:p>
    <w:p w14:paraId="1C5420E1">
      <w:pPr>
        <w:pStyle w:val="57"/>
        <w:ind w:firstLine="420"/>
      </w:pPr>
      <w:r>
        <w:rPr>
          <w:rFonts w:hint="eastAsia"/>
        </w:rPr>
        <w:t>混凝土浇筑包括以下内容：</w:t>
      </w:r>
    </w:p>
    <w:p w14:paraId="627E20F1">
      <w:pPr>
        <w:pStyle w:val="175"/>
        <w:numPr>
          <w:ilvl w:val="0"/>
          <w:numId w:val="43"/>
        </w:numPr>
      </w:pPr>
      <w:r>
        <w:rPr>
          <w:rFonts w:hint="eastAsia"/>
        </w:rPr>
        <w:t>分层浇筑：混凝土应分层浇筑，每层厚度控制在500mm以内，二次振捣的间隔时间不超过1 h；</w:t>
      </w:r>
    </w:p>
    <w:p w14:paraId="1BC2A926">
      <w:pPr>
        <w:pStyle w:val="175"/>
      </w:pPr>
      <w:r>
        <w:rPr>
          <w:rFonts w:hint="eastAsia"/>
        </w:rPr>
        <w:t>温度控制：混凝土入模温度应保持在5 ℃</w:t>
      </w:r>
      <m:oMath>
        <m:r>
          <m:rPr/>
          <w:rPr>
            <w:rFonts w:hint="eastAsia" w:ascii="Cambria Math" w:hAnsi="Cambria Math"/>
          </w:rPr>
          <m:t>~</m:t>
        </m:r>
      </m:oMath>
      <w:r>
        <w:rPr>
          <w:rFonts w:hint="eastAsia"/>
        </w:rPr>
        <w:t>35 ℃范围内，混凝土内外温差应控制在25 ℃以内（建议埋设测温传感器进行实时监测）；</w:t>
      </w:r>
    </w:p>
    <w:p w14:paraId="15DFEA5A">
      <w:pPr>
        <w:pStyle w:val="175"/>
      </w:pPr>
      <w:r>
        <w:rPr>
          <w:rFonts w:hint="eastAsia"/>
        </w:rPr>
        <w:t>膨胀剂掺量,膨胀剂的掺量应为胶凝材料总量的6%</w:t>
      </w:r>
      <m:oMath>
        <m:r>
          <m:rPr/>
          <w:rPr>
            <w:rFonts w:hint="eastAsia" w:ascii="Cambria Math" w:hAnsi="Cambria Math"/>
          </w:rPr>
          <m:t>~</m:t>
        </m:r>
      </m:oMath>
      <w:r>
        <w:rPr>
          <w:rFonts w:hint="eastAsia"/>
        </w:rPr>
        <w:t>8%，以确保补偿收缩率不低于0.025%。</w:t>
      </w:r>
    </w:p>
    <w:p w14:paraId="4A2E467A">
      <w:pPr>
        <w:pStyle w:val="106"/>
        <w:spacing w:before="120" w:after="120"/>
      </w:pPr>
      <w:bookmarkStart w:id="92" w:name="_Toc194879326"/>
      <w:bookmarkStart w:id="93" w:name="_Toc224821795"/>
      <w:r>
        <w:rPr>
          <w:rFonts w:hint="eastAsia"/>
        </w:rPr>
        <w:t>特殊工况施工</w:t>
      </w:r>
      <w:bookmarkEnd w:id="92"/>
      <w:bookmarkEnd w:id="93"/>
    </w:p>
    <w:p w14:paraId="6C52909B">
      <w:pPr>
        <w:pStyle w:val="66"/>
        <w:spacing w:before="120" w:after="120"/>
      </w:pPr>
      <w:r>
        <w:rPr>
          <w:rFonts w:hint="eastAsia"/>
        </w:rPr>
        <w:t>高温环境</w:t>
      </w:r>
    </w:p>
    <w:p w14:paraId="368285CB">
      <w:pPr>
        <w:pStyle w:val="57"/>
        <w:ind w:firstLine="420"/>
      </w:pPr>
      <w:r>
        <w:rPr>
          <w:rFonts w:hint="eastAsia"/>
        </w:rPr>
        <w:t>应将灌浆料搅拌用水预先冷却至10 ℃</w:t>
      </w:r>
      <m:oMath>
        <m:r>
          <m:rPr/>
          <w:rPr>
            <w:rFonts w:hint="eastAsia" w:ascii="Cambria Math" w:hAnsi="Cambria Math"/>
          </w:rPr>
          <m:t>~</m:t>
        </m:r>
      </m:oMath>
      <w:r>
        <w:rPr>
          <w:rFonts w:hint="eastAsia"/>
        </w:rPr>
        <w:t>15 ℃，灌浆完成后，使用湿麻布覆盖灌浆部位，并每2 h</w:t>
      </w:r>
    </w:p>
    <w:p w14:paraId="48537D69">
      <w:pPr>
        <w:pStyle w:val="57"/>
        <w:ind w:firstLine="420"/>
      </w:pPr>
      <w:r>
        <w:rPr>
          <w:rFonts w:hint="eastAsia"/>
        </w:rPr>
        <w:t>h洒水一次，以降低灌浆体温度</w:t>
      </w:r>
    </w:p>
    <w:p w14:paraId="45FEF59E">
      <w:pPr>
        <w:pStyle w:val="66"/>
        <w:spacing w:before="120" w:after="120"/>
      </w:pPr>
      <w:r>
        <w:rPr>
          <w:rFonts w:hint="eastAsia"/>
        </w:rPr>
        <w:t>低温环境</w:t>
      </w:r>
    </w:p>
    <w:p w14:paraId="61218B62">
      <w:pPr>
        <w:pStyle w:val="57"/>
        <w:ind w:firstLine="420"/>
      </w:pPr>
      <w:r>
        <w:rPr>
          <w:rFonts w:hint="eastAsia"/>
        </w:rPr>
        <w:t>在灌浆料中掺加防冻剂，确保防冻剂的冰点不高于-15 ℃，同时控制搅拌水温不超过40 ℃。同时采用采用电伴热套筒对灌浆体进行保温，确保灌浆体温度在72 h内持续保持在10 ℃以上，以保证灌浆料的正常固化。</w:t>
      </w:r>
    </w:p>
    <w:p w14:paraId="5EED1866">
      <w:pPr>
        <w:pStyle w:val="105"/>
        <w:spacing w:before="240" w:after="240"/>
      </w:pPr>
      <w:bookmarkStart w:id="94" w:name="_Toc194879327"/>
      <w:bookmarkStart w:id="95" w:name="_Toc224821796"/>
      <w:r>
        <w:rPr>
          <w:rFonts w:hint="eastAsia"/>
        </w:rPr>
        <w:t>质量检验与验收</w:t>
      </w:r>
      <w:bookmarkEnd w:id="94"/>
      <w:bookmarkEnd w:id="95"/>
    </w:p>
    <w:p w14:paraId="7ACA71B7">
      <w:pPr>
        <w:pStyle w:val="106"/>
        <w:spacing w:before="120" w:after="120"/>
      </w:pPr>
      <w:bookmarkStart w:id="96" w:name="_Toc224821797"/>
      <w:r>
        <w:rPr>
          <w:rFonts w:hint="eastAsia"/>
        </w:rPr>
        <w:t>一般规定</w:t>
      </w:r>
      <w:bookmarkEnd w:id="96"/>
    </w:p>
    <w:p w14:paraId="3B5703CB">
      <w:pPr>
        <w:pStyle w:val="57"/>
        <w:ind w:firstLine="420"/>
      </w:pPr>
      <w:r>
        <w:rPr>
          <w:rFonts w:hint="eastAsia"/>
        </w:rPr>
        <w:t>装配式混凝土结构高效连接工程的质量检验与验收应分为过程质量控制和竣工验收两个阶段，检验与验收应符合本标准及GB 50666等相关标准要求。</w:t>
      </w:r>
    </w:p>
    <w:p w14:paraId="48CDED2D">
      <w:pPr>
        <w:pStyle w:val="106"/>
        <w:spacing w:before="120" w:after="120"/>
      </w:pPr>
      <w:bookmarkStart w:id="97" w:name="_Toc194879328"/>
      <w:bookmarkStart w:id="98" w:name="_Toc224821798"/>
      <w:r>
        <w:rPr>
          <w:rFonts w:hint="eastAsia"/>
        </w:rPr>
        <w:t>过程质量控制</w:t>
      </w:r>
      <w:bookmarkEnd w:id="97"/>
      <w:bookmarkEnd w:id="98"/>
    </w:p>
    <w:p w14:paraId="1F10B54F">
      <w:pPr>
        <w:pStyle w:val="66"/>
        <w:spacing w:before="120" w:after="120"/>
      </w:pPr>
      <w:r>
        <w:rPr>
          <w:rFonts w:hint="eastAsia"/>
        </w:rPr>
        <w:t>套筒灌浆连接</w:t>
      </w:r>
    </w:p>
    <w:p w14:paraId="5F0868FF">
      <w:pPr>
        <w:pStyle w:val="99"/>
        <w:spacing w:before="120" w:after="120"/>
      </w:pPr>
      <w:r>
        <w:rPr>
          <w:rFonts w:hint="eastAsia"/>
        </w:rPr>
        <w:t>灌浆饱满度检测</w:t>
      </w:r>
    </w:p>
    <w:p w14:paraId="60B0DB8C">
      <w:pPr>
        <w:pStyle w:val="57"/>
        <w:ind w:firstLine="420"/>
      </w:pPr>
      <w:r>
        <w:rPr>
          <w:rFonts w:hint="eastAsia"/>
        </w:rPr>
        <w:t>灌浆饱满度检测包括以下内容：</w:t>
      </w:r>
    </w:p>
    <w:p w14:paraId="7BE36CB0">
      <w:pPr>
        <w:pStyle w:val="175"/>
        <w:numPr>
          <w:ilvl w:val="0"/>
          <w:numId w:val="44"/>
        </w:numPr>
      </w:pPr>
      <w:r>
        <w:rPr>
          <w:rFonts w:hint="eastAsia"/>
        </w:rPr>
        <w:t>超声检测法，按JGJ/T 411执行，声速值达到4000 m/s及以上时判定为密实。每检验批（500个套筒）抽检10%，且不少于5个；</w:t>
      </w:r>
    </w:p>
    <w:p w14:paraId="5ECD8C2E">
      <w:pPr>
        <w:pStyle w:val="175"/>
      </w:pPr>
      <w:r>
        <w:rPr>
          <w:rFonts w:hint="eastAsia"/>
        </w:rPr>
        <w:t>X射线成像法，空隙率控制在1.5%以内，每个项目至少抽检3处关键节点。</w:t>
      </w:r>
    </w:p>
    <w:p w14:paraId="0E879E73">
      <w:pPr>
        <w:pStyle w:val="99"/>
        <w:spacing w:before="120" w:after="120"/>
      </w:pPr>
      <w:r>
        <w:rPr>
          <w:rFonts w:hint="eastAsia"/>
        </w:rPr>
        <w:t>灌浆料性能验证</w:t>
      </w:r>
    </w:p>
    <w:p w14:paraId="03D65E2C">
      <w:pPr>
        <w:pStyle w:val="57"/>
        <w:ind w:firstLine="420"/>
      </w:pPr>
      <w:r>
        <w:rPr>
          <w:rFonts w:hint="eastAsia"/>
        </w:rPr>
        <w:t>灌浆料性能验证主要包括以下内容：</w:t>
      </w:r>
    </w:p>
    <w:p w14:paraId="51E780E5">
      <w:pPr>
        <w:pStyle w:val="175"/>
        <w:numPr>
          <w:ilvl w:val="0"/>
          <w:numId w:val="45"/>
        </w:numPr>
      </w:pPr>
      <w:r>
        <w:rPr>
          <w:rFonts w:hint="eastAsia"/>
        </w:rPr>
        <w:t>流动度检测：每班次检测2次，30分钟流动度应不小于260mm；</w:t>
      </w:r>
    </w:p>
    <w:p w14:paraId="3948B2E6">
      <w:pPr>
        <w:pStyle w:val="175"/>
        <w:numPr>
          <w:ilvl w:val="0"/>
          <w:numId w:val="45"/>
        </w:numPr>
      </w:pPr>
      <w:r>
        <w:rPr>
          <w:rFonts w:hint="eastAsia"/>
        </w:rPr>
        <w:t>抗压强度检测：每50吨灌浆料留置3组试块（尺寸为40 mm×40 mm×160 mm），3天抗压强度应不小于35 MPa，28天抗压强度应不小于85 MPa。</w:t>
      </w:r>
    </w:p>
    <w:p w14:paraId="3503F600">
      <w:pPr>
        <w:pStyle w:val="95"/>
        <w:spacing w:before="120" w:after="120"/>
      </w:pPr>
      <w:r>
        <w:rPr>
          <w:rFonts w:hint="eastAsia"/>
        </w:rPr>
        <w:t>高强螺栓连接</w:t>
      </w:r>
    </w:p>
    <w:p w14:paraId="74012CAC">
      <w:pPr>
        <w:pStyle w:val="57"/>
        <w:ind w:firstLine="420"/>
      </w:pPr>
      <w:r>
        <w:rPr>
          <w:rFonts w:hint="eastAsia"/>
        </w:rPr>
        <w:t>高强螺栓包括以下内容：</w:t>
      </w:r>
    </w:p>
    <w:p w14:paraId="6C1BB80B">
      <w:pPr>
        <w:pStyle w:val="175"/>
        <w:numPr>
          <w:ilvl w:val="0"/>
          <w:numId w:val="46"/>
        </w:numPr>
      </w:pPr>
      <w:r>
        <w:rPr>
          <w:rFonts w:hint="eastAsia"/>
        </w:rPr>
        <w:t>扭矩控制：终拧扭矩偏差应控制在±5%以内，使用标定合格的数显扭矩扳手进行检测，抽检比例为10%，且不少于10套；</w:t>
      </w:r>
    </w:p>
    <w:p w14:paraId="7E707E0C">
      <w:pPr>
        <w:pStyle w:val="175"/>
        <w:numPr>
          <w:ilvl w:val="0"/>
          <w:numId w:val="46"/>
        </w:numPr>
      </w:pPr>
      <w:r>
        <w:rPr>
          <w:rFonts w:hint="eastAsia"/>
        </w:rPr>
        <w:t>抗滑移系数试验：每2000套螺栓连接副应进行1组试件试验，抗滑移系数μ应不小于0.45（喷砂处理面）。</w:t>
      </w:r>
    </w:p>
    <w:p w14:paraId="3CA07C89">
      <w:pPr>
        <w:pStyle w:val="66"/>
        <w:spacing w:before="120" w:after="120"/>
      </w:pPr>
      <w:r>
        <w:rPr>
          <w:rFonts w:hint="eastAsia"/>
        </w:rPr>
        <w:t>一般项目</w:t>
      </w:r>
    </w:p>
    <w:p w14:paraId="73D65614">
      <w:pPr>
        <w:pStyle w:val="95"/>
        <w:spacing w:before="120" w:after="120"/>
      </w:pPr>
      <w:r>
        <w:rPr>
          <w:rFonts w:hint="eastAsia"/>
        </w:rPr>
        <w:t>构件安全精度</w:t>
      </w:r>
    </w:p>
    <w:p w14:paraId="00B133F5">
      <w:pPr>
        <w:pStyle w:val="57"/>
        <w:ind w:firstLine="420"/>
      </w:pPr>
      <w:r>
        <w:rPr>
          <w:rFonts w:hint="eastAsia"/>
        </w:rPr>
        <w:t>构件安全精度主要包括以下内容：</w:t>
      </w:r>
    </w:p>
    <w:p w14:paraId="2922E6B1">
      <w:pPr>
        <w:pStyle w:val="175"/>
        <w:numPr>
          <w:ilvl w:val="0"/>
          <w:numId w:val="47"/>
        </w:numPr>
      </w:pPr>
      <w:r>
        <w:rPr>
          <w:rFonts w:hint="eastAsia"/>
        </w:rPr>
        <w:t>水平构件标高偏差应控制在±5 mm以内；</w:t>
      </w:r>
    </w:p>
    <w:p w14:paraId="3AF8DFFB">
      <w:pPr>
        <w:pStyle w:val="175"/>
        <w:numPr>
          <w:ilvl w:val="0"/>
          <w:numId w:val="47"/>
        </w:numPr>
      </w:pPr>
      <w:r>
        <w:rPr>
          <w:rFonts w:hint="eastAsia"/>
        </w:rPr>
        <w:t>垂直度偏差应控制在H/1000以内，且不超过10 mm；</w:t>
      </w:r>
    </w:p>
    <w:p w14:paraId="78B570B1">
      <w:pPr>
        <w:pStyle w:val="175"/>
        <w:numPr>
          <w:ilvl w:val="0"/>
          <w:numId w:val="47"/>
        </w:numPr>
      </w:pPr>
      <w:r>
        <w:rPr>
          <w:rFonts w:hint="eastAsia"/>
        </w:rPr>
        <w:t>相邻构件接缝宽度偏差应控制在±3 mm以内，宜采用激光测距仪进行全数检查。</w:t>
      </w:r>
    </w:p>
    <w:p w14:paraId="63B129FD">
      <w:pPr>
        <w:pStyle w:val="95"/>
        <w:spacing w:before="120" w:after="120"/>
      </w:pPr>
      <w:r>
        <w:rPr>
          <w:rFonts w:hint="eastAsia"/>
        </w:rPr>
        <w:t>后浇混凝土施工</w:t>
      </w:r>
    </w:p>
    <w:p w14:paraId="1EA4BA23">
      <w:pPr>
        <w:ind w:firstLine="420" w:firstLineChars="200"/>
        <w:rPr>
          <w:rFonts w:ascii="宋体" w:hAnsi="Times New Roman"/>
          <w:kern w:val="0"/>
          <w:szCs w:val="20"/>
        </w:rPr>
      </w:pPr>
      <w:r>
        <w:rPr>
          <w:rFonts w:hint="eastAsia" w:ascii="宋体" w:hAnsi="Times New Roman"/>
          <w:kern w:val="0"/>
          <w:szCs w:val="20"/>
        </w:rPr>
        <w:t>应采用拓模法对界面粗糙度进行检测，粗糙度平均值应不小于3mm。同时，混凝土入模温度控制在5 ℃</w:t>
      </w:r>
      <m:oMath>
        <m:r>
          <m:rPr/>
          <w:rPr>
            <w:rFonts w:hint="eastAsia" w:ascii="Cambria Math" w:hAnsi="Cambria Math"/>
            <w:kern w:val="0"/>
            <w:szCs w:val="20"/>
          </w:rPr>
          <m:t>~</m:t>
        </m:r>
      </m:oMath>
      <w:r>
        <w:rPr>
          <w:rFonts w:hint="eastAsia" w:ascii="宋体" w:hAnsi="Times New Roman"/>
          <w:kern w:val="0"/>
          <w:szCs w:val="20"/>
        </w:rPr>
        <w:t>35 ℃范围内，内外温差控制在25 ℃以内，每2 h记录一次温度数据。</w:t>
      </w:r>
    </w:p>
    <w:p w14:paraId="3085816B">
      <w:pPr>
        <w:pStyle w:val="106"/>
        <w:spacing w:before="120" w:after="120"/>
      </w:pPr>
      <w:bookmarkStart w:id="99" w:name="_Toc194879329"/>
      <w:bookmarkStart w:id="100" w:name="_Toc224821799"/>
      <w:r>
        <w:rPr>
          <w:rFonts w:hint="eastAsia"/>
        </w:rPr>
        <w:t>竣工验收</w:t>
      </w:r>
      <w:bookmarkEnd w:id="99"/>
      <w:bookmarkEnd w:id="100"/>
    </w:p>
    <w:p w14:paraId="0CC2C243">
      <w:pPr>
        <w:pStyle w:val="66"/>
        <w:spacing w:before="120" w:after="120"/>
      </w:pPr>
      <w:r>
        <w:rPr>
          <w:rFonts w:hint="eastAsia"/>
        </w:rPr>
        <w:t>主控项目</w:t>
      </w:r>
    </w:p>
    <w:p w14:paraId="26A33665">
      <w:pPr>
        <w:pStyle w:val="95"/>
        <w:spacing w:before="120" w:after="120"/>
      </w:pPr>
      <w:r>
        <w:rPr>
          <w:rFonts w:hint="eastAsia"/>
        </w:rPr>
        <w:t>结构性能验证</w:t>
      </w:r>
    </w:p>
    <w:p w14:paraId="5E6A810E">
      <w:pPr>
        <w:pStyle w:val="99"/>
        <w:spacing w:before="120" w:after="120"/>
      </w:pPr>
      <w:r>
        <w:rPr>
          <w:rFonts w:hint="eastAsia"/>
        </w:rPr>
        <w:t>节点承载力试验</w:t>
      </w:r>
    </w:p>
    <w:p w14:paraId="36E5D10D">
      <w:pPr>
        <w:pStyle w:val="57"/>
        <w:ind w:firstLine="420"/>
      </w:pPr>
      <w:r>
        <w:rPr>
          <w:rFonts w:hint="eastAsia"/>
        </w:rPr>
        <w:t>随机抽取3个同类型节点进行静载试验，加载至1.5倍设计荷载，持荷10分钟，无裂纹出现。对于抗震设防项目应进行低周反复加载试验，确保滞回曲线无明显捏缩。</w:t>
      </w:r>
    </w:p>
    <w:p w14:paraId="2991A6D5">
      <w:pPr>
        <w:pStyle w:val="99"/>
        <w:spacing w:before="120" w:after="120"/>
      </w:pPr>
      <w:r>
        <w:rPr>
          <w:rFonts w:hint="eastAsia"/>
        </w:rPr>
        <w:t>钢筋连接强度</w:t>
      </w:r>
    </w:p>
    <w:p w14:paraId="53B9FB51">
      <w:pPr>
        <w:pStyle w:val="57"/>
        <w:ind w:firstLine="420"/>
      </w:pPr>
      <w:r>
        <w:rPr>
          <w:rFonts w:hint="eastAsia"/>
        </w:rPr>
        <w:t>钢筋连接强度应包括以下内容：</w:t>
      </w:r>
    </w:p>
    <w:p w14:paraId="20EB2646">
      <w:pPr>
        <w:pStyle w:val="175"/>
        <w:numPr>
          <w:ilvl w:val="0"/>
          <w:numId w:val="48"/>
        </w:numPr>
      </w:pPr>
      <w:r>
        <w:rPr>
          <w:rFonts w:hint="eastAsia"/>
        </w:rPr>
        <w:t>套筒灌浆连接，剖切检查钢筋锚固长度不小于8 d，粘结破坏面积不超过5%；</w:t>
      </w:r>
    </w:p>
    <w:p w14:paraId="782808B8">
      <w:pPr>
        <w:pStyle w:val="175"/>
        <w:numPr>
          <w:ilvl w:val="0"/>
          <w:numId w:val="48"/>
        </w:numPr>
      </w:pPr>
      <w:r>
        <w:rPr>
          <w:rFonts w:hint="eastAsia"/>
        </w:rPr>
        <w:t>浆锚搭接，拉拔试验力应不小于1.15倍钢筋屈服力。</w:t>
      </w:r>
    </w:p>
    <w:p w14:paraId="32E36B03">
      <w:pPr>
        <w:pStyle w:val="95"/>
        <w:spacing w:before="120" w:after="120"/>
      </w:pPr>
      <w:r>
        <w:rPr>
          <w:rFonts w:hint="eastAsia"/>
        </w:rPr>
        <w:t>耐久性检测</w:t>
      </w:r>
    </w:p>
    <w:p w14:paraId="598D28C8">
      <w:pPr>
        <w:pStyle w:val="57"/>
        <w:ind w:firstLine="420"/>
      </w:pPr>
      <w:r>
        <w:rPr>
          <w:rFonts w:hint="eastAsia"/>
        </w:rPr>
        <w:t>耐久性检测主要包括以下内容：</w:t>
      </w:r>
    </w:p>
    <w:p w14:paraId="17626091">
      <w:pPr>
        <w:pStyle w:val="175"/>
        <w:numPr>
          <w:ilvl w:val="0"/>
          <w:numId w:val="49"/>
        </w:numPr>
      </w:pPr>
      <w:r>
        <w:rPr>
          <w:rFonts w:hint="eastAsia"/>
        </w:rPr>
        <w:t>灌浆料氯离子含量，应按照GB/T 50476标准检测，氯离子含量应不大于0.03%；</w:t>
      </w:r>
    </w:p>
    <w:p w14:paraId="341F6156">
      <w:pPr>
        <w:pStyle w:val="175"/>
        <w:numPr>
          <w:ilvl w:val="0"/>
          <w:numId w:val="49"/>
        </w:numPr>
      </w:pPr>
      <w:r>
        <w:rPr>
          <w:rFonts w:hint="eastAsia"/>
        </w:rPr>
        <w:t>金属连接件防腐层厚度，镀锌层厚度不小于80μm，环氧涂层厚度不小于50μm，采用磁感应法抽检5%。</w:t>
      </w:r>
    </w:p>
    <w:p w14:paraId="32E5DEBC">
      <w:pPr>
        <w:pStyle w:val="66"/>
        <w:spacing w:before="120" w:after="120"/>
      </w:pPr>
      <w:r>
        <w:rPr>
          <w:rFonts w:hint="eastAsia"/>
        </w:rPr>
        <w:t>一般项目</w:t>
      </w:r>
    </w:p>
    <w:p w14:paraId="379E9881">
      <w:pPr>
        <w:pStyle w:val="95"/>
        <w:spacing w:before="120" w:after="120"/>
      </w:pPr>
      <w:r>
        <w:rPr>
          <w:rFonts w:hint="eastAsia"/>
        </w:rPr>
        <w:t>外观质量</w:t>
      </w:r>
    </w:p>
    <w:p w14:paraId="5A4D6E45">
      <w:pPr>
        <w:pStyle w:val="57"/>
        <w:ind w:firstLine="420"/>
      </w:pPr>
      <w:r>
        <w:rPr>
          <w:rFonts w:hint="eastAsia"/>
        </w:rPr>
        <w:t>主要包括以下内容：</w:t>
      </w:r>
    </w:p>
    <w:p w14:paraId="678C2C00">
      <w:pPr>
        <w:pStyle w:val="175"/>
        <w:numPr>
          <w:ilvl w:val="0"/>
          <w:numId w:val="50"/>
        </w:numPr>
      </w:pPr>
      <w:r>
        <w:rPr>
          <w:rFonts w:hint="eastAsia"/>
        </w:rPr>
        <w:t>灌浆孔封堵，封堵应平整，无渗漏；</w:t>
      </w:r>
    </w:p>
    <w:p w14:paraId="0780DB2A">
      <w:pPr>
        <w:pStyle w:val="175"/>
        <w:numPr>
          <w:ilvl w:val="0"/>
          <w:numId w:val="50"/>
        </w:numPr>
      </w:pPr>
      <w:r>
        <w:rPr>
          <w:rFonts w:hint="eastAsia"/>
        </w:rPr>
        <w:t>螺栓外露丝扣，外露丝扣应为2</w:t>
      </w:r>
      <m:oMath>
        <m:r>
          <m:rPr/>
          <w:rPr>
            <w:rFonts w:hint="eastAsia" w:ascii="Cambria Math" w:hAnsi="Cambria Math"/>
          </w:rPr>
          <m:t>~</m:t>
        </m:r>
      </m:oMath>
      <w:r>
        <w:rPr>
          <w:rFonts w:hint="eastAsia"/>
        </w:rPr>
        <w:t>3扣，护套完整率不低于95%；</w:t>
      </w:r>
    </w:p>
    <w:p w14:paraId="75648198">
      <w:pPr>
        <w:pStyle w:val="175"/>
        <w:numPr>
          <w:ilvl w:val="0"/>
          <w:numId w:val="50"/>
        </w:numPr>
      </w:pPr>
      <w:r>
        <w:rPr>
          <w:rFonts w:hint="eastAsia"/>
        </w:rPr>
        <w:t>后浇混凝土表面，表面无裂缝（宽度不超过0.2 mm除外），蜂窝面积不超过1%。</w:t>
      </w:r>
    </w:p>
    <w:p w14:paraId="2BCC8BEC">
      <w:pPr>
        <w:pStyle w:val="95"/>
        <w:spacing w:before="120" w:after="120"/>
      </w:pPr>
      <w:r>
        <w:rPr>
          <w:rFonts w:hint="eastAsia"/>
        </w:rPr>
        <w:t>资料完整性</w:t>
      </w:r>
    </w:p>
    <w:p w14:paraId="61209F32">
      <w:pPr>
        <w:pStyle w:val="57"/>
        <w:ind w:firstLine="420"/>
      </w:pPr>
      <w:r>
        <w:rPr>
          <w:rFonts w:hint="eastAsia"/>
        </w:rPr>
        <w:t>资料包括以下内容：</w:t>
      </w:r>
    </w:p>
    <w:p w14:paraId="3B881F6D">
      <w:pPr>
        <w:pStyle w:val="175"/>
        <w:numPr>
          <w:ilvl w:val="0"/>
          <w:numId w:val="51"/>
        </w:numPr>
      </w:pPr>
      <w:r>
        <w:rPr>
          <w:rFonts w:hint="eastAsia"/>
        </w:rPr>
        <w:t>灌浆施工影像记录，每个作业面提供不少于3段影像记录，时长不少于30秒；</w:t>
      </w:r>
    </w:p>
    <w:p w14:paraId="702A5F67">
      <w:pPr>
        <w:pStyle w:val="175"/>
        <w:numPr>
          <w:ilvl w:val="0"/>
          <w:numId w:val="51"/>
        </w:numPr>
      </w:pPr>
      <w:r>
        <w:rPr>
          <w:rFonts w:hint="eastAsia"/>
        </w:rPr>
        <w:t>第三方检测报告，应提供灌浆料、螺栓、套筒的第三方检测报告；</w:t>
      </w:r>
    </w:p>
    <w:p w14:paraId="249AE536">
      <w:pPr>
        <w:pStyle w:val="175"/>
        <w:numPr>
          <w:ilvl w:val="0"/>
          <w:numId w:val="51"/>
        </w:numPr>
      </w:pPr>
      <w:r>
        <w:rPr>
          <w:rFonts w:hint="eastAsia"/>
        </w:rPr>
        <w:t>BIM模型对比报告，应提供BIM模型与现场实施一致性对比报告，节点偏差控制在5 mm以内。</w:t>
      </w:r>
    </w:p>
    <w:p w14:paraId="65580695">
      <w:pPr>
        <w:pStyle w:val="106"/>
        <w:spacing w:before="120" w:after="120"/>
      </w:pPr>
      <w:bookmarkStart w:id="101" w:name="_Toc194879330"/>
      <w:bookmarkStart w:id="102" w:name="_Toc224821800"/>
      <w:r>
        <w:rPr>
          <w:rFonts w:hint="eastAsia"/>
        </w:rPr>
        <w:t>检验批划分与判定</w:t>
      </w:r>
      <w:bookmarkEnd w:id="101"/>
      <w:bookmarkEnd w:id="102"/>
    </w:p>
    <w:p w14:paraId="7D016448">
      <w:pPr>
        <w:pStyle w:val="66"/>
        <w:spacing w:before="120" w:after="120"/>
      </w:pPr>
      <w:r>
        <w:rPr>
          <w:rFonts w:hint="eastAsia"/>
        </w:rPr>
        <w:t>检验批划分</w:t>
      </w:r>
    </w:p>
    <w:p w14:paraId="39711C69">
      <w:pPr>
        <w:pStyle w:val="57"/>
        <w:ind w:firstLine="420"/>
      </w:pPr>
      <w:r>
        <w:rPr>
          <w:rFonts w:hint="eastAsia"/>
        </w:rPr>
        <w:t>检验批划分应包括以下内容：</w:t>
      </w:r>
    </w:p>
    <w:p w14:paraId="435BC488">
      <w:pPr>
        <w:pStyle w:val="175"/>
        <w:numPr>
          <w:ilvl w:val="0"/>
          <w:numId w:val="52"/>
        </w:numPr>
      </w:pPr>
      <w:r>
        <w:rPr>
          <w:rFonts w:hint="eastAsia"/>
        </w:rPr>
        <w:t>套筒灌浆连接，每楼层或每500个套筒为一批；</w:t>
      </w:r>
    </w:p>
    <w:p w14:paraId="328F6DD3">
      <w:pPr>
        <w:pStyle w:val="175"/>
        <w:numPr>
          <w:ilvl w:val="0"/>
          <w:numId w:val="52"/>
        </w:numPr>
      </w:pPr>
      <w:r>
        <w:rPr>
          <w:rFonts w:hint="eastAsia"/>
        </w:rPr>
        <w:t>螺栓连接，每楼层或每2000套连接副为一批；</w:t>
      </w:r>
    </w:p>
    <w:p w14:paraId="4374F804">
      <w:pPr>
        <w:pStyle w:val="175"/>
        <w:numPr>
          <w:ilvl w:val="0"/>
          <w:numId w:val="52"/>
        </w:numPr>
      </w:pPr>
      <w:r>
        <w:rPr>
          <w:rFonts w:hint="eastAsia"/>
        </w:rPr>
        <w:t>后浇混凝土，每100 m³或每个施工段为一批。</w:t>
      </w:r>
    </w:p>
    <w:p w14:paraId="795B8C6A">
      <w:pPr>
        <w:pStyle w:val="66"/>
        <w:spacing w:before="120" w:after="120"/>
      </w:pPr>
      <w:r>
        <w:rPr>
          <w:rFonts w:hint="eastAsia"/>
        </w:rPr>
        <w:t>合格判定</w:t>
      </w:r>
    </w:p>
    <w:p w14:paraId="4826ABFA">
      <w:pPr>
        <w:pStyle w:val="57"/>
        <w:ind w:firstLine="420"/>
      </w:pPr>
      <w:r>
        <w:rPr>
          <w:rFonts w:hint="eastAsia"/>
        </w:rPr>
        <w:t>合格判定主要包括以下内容：</w:t>
      </w:r>
    </w:p>
    <w:p w14:paraId="0EA07E33">
      <w:pPr>
        <w:pStyle w:val="175"/>
        <w:numPr>
          <w:ilvl w:val="0"/>
          <w:numId w:val="53"/>
        </w:numPr>
      </w:pPr>
      <w:r>
        <w:rPr>
          <w:rFonts w:hint="eastAsia"/>
        </w:rPr>
        <w:t>主控项目合格率应达到100%；</w:t>
      </w:r>
    </w:p>
    <w:p w14:paraId="3E161EFA">
      <w:pPr>
        <w:pStyle w:val="175"/>
        <w:numPr>
          <w:ilvl w:val="0"/>
          <w:numId w:val="53"/>
        </w:numPr>
      </w:pPr>
      <w:r>
        <w:rPr>
          <w:rFonts w:hint="eastAsia"/>
        </w:rPr>
        <w:t>一般项目合格率应不小于90%，且最大偏差不超过允许值的1.2倍。</w:t>
      </w:r>
    </w:p>
    <w:p w14:paraId="71AF3C5A">
      <w:pPr>
        <w:pStyle w:val="105"/>
        <w:spacing w:before="240" w:after="240"/>
      </w:pPr>
      <w:bookmarkStart w:id="103" w:name="_Toc194879331"/>
      <w:bookmarkStart w:id="104" w:name="_Toc224821801"/>
      <w:r>
        <w:rPr>
          <w:rFonts w:hint="eastAsia"/>
        </w:rPr>
        <w:t>安全与环保</w:t>
      </w:r>
      <w:bookmarkEnd w:id="103"/>
      <w:bookmarkEnd w:id="104"/>
    </w:p>
    <w:p w14:paraId="6AAB393C">
      <w:pPr>
        <w:pStyle w:val="106"/>
        <w:spacing w:before="120" w:after="120"/>
      </w:pPr>
      <w:bookmarkStart w:id="105" w:name="_Toc194879332"/>
      <w:bookmarkStart w:id="106" w:name="_Toc224821802"/>
      <w:r>
        <w:rPr>
          <w:rFonts w:hint="eastAsia"/>
        </w:rPr>
        <w:t>安全管理体系</w:t>
      </w:r>
      <w:bookmarkEnd w:id="105"/>
      <w:bookmarkEnd w:id="106"/>
    </w:p>
    <w:p w14:paraId="45BFAC68">
      <w:pPr>
        <w:pStyle w:val="66"/>
        <w:spacing w:before="120" w:after="120"/>
      </w:pPr>
      <w:r>
        <w:rPr>
          <w:rFonts w:hint="eastAsia"/>
        </w:rPr>
        <w:t>通用安全要求</w:t>
      </w:r>
    </w:p>
    <w:p w14:paraId="6545E40D">
      <w:pPr>
        <w:pStyle w:val="95"/>
        <w:spacing w:before="120" w:after="120"/>
      </w:pPr>
      <w:r>
        <w:rPr>
          <w:rFonts w:hint="eastAsia"/>
        </w:rPr>
        <w:t>人员防护</w:t>
      </w:r>
    </w:p>
    <w:p w14:paraId="454AB17F">
      <w:pPr>
        <w:pStyle w:val="57"/>
        <w:ind w:firstLine="420"/>
      </w:pPr>
      <w:r>
        <w:rPr>
          <w:rFonts w:hint="eastAsia"/>
        </w:rPr>
        <w:t>灌浆作业人员应穿戴防化服、护目镜、橡胶手套及过滤效率不低于95%的防尘口罩；高空作业人员在高度≥2 m的作业环境中，应系挂双钩安全带，安全带锚固点的承载力应不小于15kN。</w:t>
      </w:r>
    </w:p>
    <w:p w14:paraId="5D8828C1">
      <w:pPr>
        <w:pStyle w:val="95"/>
        <w:spacing w:before="120" w:after="120"/>
      </w:pPr>
      <w:r>
        <w:rPr>
          <w:rFonts w:hint="eastAsia"/>
        </w:rPr>
        <w:t>设备安全</w:t>
      </w:r>
    </w:p>
    <w:p w14:paraId="4B90693A">
      <w:pPr>
        <w:pStyle w:val="57"/>
        <w:ind w:firstLine="420"/>
      </w:pPr>
      <w:r>
        <w:rPr>
          <w:rFonts w:hint="eastAsia"/>
        </w:rPr>
        <w:t>灌浆机的压力表量程应为工作压力的1.5</w:t>
      </w:r>
      <m:oMath>
        <m:r>
          <m:rPr/>
          <w:rPr>
            <w:rFonts w:hint="eastAsia" w:ascii="Cambria Math" w:hAnsi="Cambria Math"/>
          </w:rPr>
          <m:t>~</m:t>
        </m:r>
      </m:oMath>
      <w:r>
        <w:rPr>
          <w:rFonts w:hint="eastAsia"/>
        </w:rPr>
        <w:t>3倍，安全阀的起跳压力应不超过额定压力的1.1倍；吊装设备的钢丝绳安全系数应不小于6，每捻距内的断丝数不得超过3根。</w:t>
      </w:r>
    </w:p>
    <w:p w14:paraId="7E21AC3C">
      <w:pPr>
        <w:pStyle w:val="66"/>
        <w:spacing w:before="120" w:after="120"/>
      </w:pPr>
      <w:r>
        <w:rPr>
          <w:rFonts w:hint="eastAsia"/>
        </w:rPr>
        <w:t>专项安全控制</w:t>
      </w:r>
    </w:p>
    <w:p w14:paraId="6CD975A7">
      <w:pPr>
        <w:pStyle w:val="95"/>
        <w:spacing w:before="120" w:after="120"/>
      </w:pPr>
      <w:r>
        <w:rPr>
          <w:rFonts w:hint="eastAsia"/>
        </w:rPr>
        <w:t>套筒灌浆作业</w:t>
      </w:r>
    </w:p>
    <w:p w14:paraId="6D836B3F">
      <w:pPr>
        <w:pStyle w:val="57"/>
        <w:ind w:firstLine="420"/>
      </w:pPr>
      <w:r>
        <w:rPr>
          <w:rFonts w:hint="eastAsia"/>
        </w:rPr>
        <w:t>灌浆作业区域需设置明显警戒标识，非操作人员应保持与注浆口至少3m的距离；灌浆管路的耐压强度应不小于1.5MPa，每班次施工前需进行0.6MPa的试压，保压10分钟无泄漏。</w:t>
      </w:r>
    </w:p>
    <w:p w14:paraId="65B63929">
      <w:pPr>
        <w:pStyle w:val="95"/>
        <w:spacing w:before="120" w:after="120"/>
      </w:pPr>
      <w:r>
        <w:rPr>
          <w:rFonts w:hint="eastAsia"/>
        </w:rPr>
        <w:t>螺栓高空紧固</w:t>
      </w:r>
    </w:p>
    <w:p w14:paraId="1ABBBBAE">
      <w:pPr>
        <w:pStyle w:val="57"/>
        <w:ind w:firstLine="420"/>
      </w:pPr>
      <w:r>
        <w:rPr>
          <w:rFonts w:hint="eastAsia"/>
        </w:rPr>
        <w:t>扭矩倍增器应使用扭矩倍增器时，反作用力臂的固定点应经结构工程师确认；螺栓弹垫片的安装到位率应达到100%，以防止高空坠落。</w:t>
      </w:r>
    </w:p>
    <w:p w14:paraId="2F1BB743">
      <w:pPr>
        <w:pStyle w:val="106"/>
        <w:spacing w:before="120" w:after="120"/>
      </w:pPr>
      <w:bookmarkStart w:id="107" w:name="_Toc224821803"/>
      <w:bookmarkStart w:id="108" w:name="_Toc194879333"/>
      <w:r>
        <w:rPr>
          <w:rFonts w:hint="eastAsia"/>
        </w:rPr>
        <w:t>危险源控制</w:t>
      </w:r>
      <w:bookmarkEnd w:id="107"/>
      <w:bookmarkEnd w:id="108"/>
    </w:p>
    <w:p w14:paraId="55524FE4">
      <w:pPr>
        <w:pStyle w:val="66"/>
        <w:spacing w:before="120" w:after="120"/>
      </w:pPr>
      <w:r>
        <w:rPr>
          <w:rFonts w:hint="eastAsia"/>
        </w:rPr>
        <w:t>化学危害防控</w:t>
      </w:r>
    </w:p>
    <w:p w14:paraId="51CFD3C4">
      <w:pPr>
        <w:pStyle w:val="95"/>
        <w:spacing w:before="120" w:after="120"/>
      </w:pPr>
      <w:r>
        <w:rPr>
          <w:rFonts w:hint="eastAsia"/>
        </w:rPr>
        <w:t>灌浆料接触风险</w:t>
      </w:r>
    </w:p>
    <w:p w14:paraId="2CFBDC4C">
      <w:pPr>
        <w:pStyle w:val="57"/>
        <w:ind w:firstLine="420"/>
      </w:pPr>
      <w:r>
        <w:rPr>
          <w:rFonts w:hint="eastAsia"/>
        </w:rPr>
        <w:t>皮肤接触灌浆料时，应立即用5%醋酸溶液冲洗，并用清水冲洗至少15分钟；眼部接触灌浆料时，应立即用生理盐水冲洗，并尽快送医，同时携带灌浆料的MSDS（化学品安全技术说明书）。</w:t>
      </w:r>
    </w:p>
    <w:p w14:paraId="553F1E22">
      <w:pPr>
        <w:pStyle w:val="95"/>
        <w:spacing w:before="120" w:after="120"/>
      </w:pPr>
      <w:r>
        <w:rPr>
          <w:rFonts w:hint="eastAsia"/>
        </w:rPr>
        <w:t>挥发性有机物（VOC）</w:t>
      </w:r>
    </w:p>
    <w:p w14:paraId="7173E5FA">
      <w:pPr>
        <w:pStyle w:val="57"/>
        <w:ind w:firstLine="420"/>
      </w:pPr>
      <w:r>
        <w:rPr>
          <w:rFonts w:hint="eastAsia"/>
        </w:rPr>
        <w:t>环氧密封胶施工时，作业区VOC浓度应控制在0.6 mg/m³以内，同时通风换气次数应不少于5次/小时，或配置移动式焊烟净化器。</w:t>
      </w:r>
    </w:p>
    <w:p w14:paraId="064A89AE">
      <w:pPr>
        <w:pStyle w:val="66"/>
        <w:spacing w:before="120" w:after="120"/>
      </w:pPr>
      <w:r>
        <w:rPr>
          <w:rFonts w:hint="eastAsia"/>
        </w:rPr>
        <w:t>物理危害防控</w:t>
      </w:r>
    </w:p>
    <w:p w14:paraId="74909460">
      <w:pPr>
        <w:pStyle w:val="95"/>
        <w:spacing w:before="120" w:after="120"/>
      </w:pPr>
      <w:r>
        <w:rPr>
          <w:rFonts w:hint="eastAsia"/>
        </w:rPr>
        <w:t>噪声控制</w:t>
      </w:r>
    </w:p>
    <w:p w14:paraId="6999219B">
      <w:pPr>
        <w:pStyle w:val="57"/>
        <w:ind w:firstLine="420"/>
      </w:pPr>
      <w:r>
        <w:rPr>
          <w:rFonts w:hint="eastAsia"/>
        </w:rPr>
        <w:t>灌浆机应加装隔音罩，作业区边界噪声昼间不超过70 dB(A)，夜间不超过55 dB(A)；操作人员连续暴露时间应不超过4小时/天，并配备降噪耳罩（SNR≥25dB）。</w:t>
      </w:r>
    </w:p>
    <w:p w14:paraId="32AB2587">
      <w:pPr>
        <w:pStyle w:val="95"/>
        <w:spacing w:before="120" w:after="120"/>
      </w:pPr>
      <w:r>
        <w:rPr>
          <w:rFonts w:hint="eastAsia"/>
        </w:rPr>
        <w:t>振动危害</w:t>
      </w:r>
    </w:p>
    <w:p w14:paraId="6ACB8D4C">
      <w:pPr>
        <w:ind w:firstLine="420" w:firstLineChars="200"/>
        <w:rPr>
          <w:rFonts w:ascii="宋体" w:hAnsi="Times New Roman"/>
          <w:kern w:val="0"/>
          <w:szCs w:val="20"/>
        </w:rPr>
      </w:pPr>
      <w:r>
        <w:rPr>
          <w:rFonts w:hint="eastAsia" w:ascii="宋体" w:hAnsi="Times New Roman"/>
          <w:kern w:val="0"/>
          <w:szCs w:val="20"/>
        </w:rPr>
        <w:t>每日使用时间应不超过2 h，手柄处的振动加速度应控制在5 m/s²以内。</w:t>
      </w:r>
    </w:p>
    <w:p w14:paraId="1DF893F9">
      <w:pPr>
        <w:pStyle w:val="106"/>
        <w:spacing w:before="120" w:after="120"/>
      </w:pPr>
      <w:bookmarkStart w:id="109" w:name="_Toc194879334"/>
      <w:bookmarkStart w:id="110" w:name="_Toc224821804"/>
      <w:r>
        <w:rPr>
          <w:rFonts w:hint="eastAsia"/>
        </w:rPr>
        <w:t>环境保护措施</w:t>
      </w:r>
      <w:bookmarkEnd w:id="109"/>
      <w:bookmarkEnd w:id="110"/>
    </w:p>
    <w:p w14:paraId="64517891">
      <w:pPr>
        <w:pStyle w:val="66"/>
        <w:spacing w:before="120" w:after="120"/>
      </w:pPr>
      <w:r>
        <w:rPr>
          <w:rFonts w:hint="eastAsia"/>
        </w:rPr>
        <w:t>废弃物管理</w:t>
      </w:r>
    </w:p>
    <w:p w14:paraId="248B4CF6">
      <w:pPr>
        <w:pStyle w:val="95"/>
        <w:spacing w:before="120" w:after="120"/>
      </w:pPr>
      <w:r>
        <w:rPr>
          <w:rFonts w:hint="eastAsia"/>
        </w:rPr>
        <w:t>灌浆料废弃物</w:t>
      </w:r>
    </w:p>
    <w:p w14:paraId="0F143DA1">
      <w:pPr>
        <w:pStyle w:val="57"/>
        <w:ind w:firstLine="420"/>
      </w:pPr>
      <w:r>
        <w:rPr>
          <w:rFonts w:hint="eastAsia"/>
        </w:rPr>
        <w:t>未硬化废料应按HW13类危险废物处理，确保铅含量不超过100 mg/kg；硬化废料破碎后可作为路基骨料，利用率应达到80%以上。</w:t>
      </w:r>
    </w:p>
    <w:p w14:paraId="168D0F2D">
      <w:pPr>
        <w:pStyle w:val="95"/>
        <w:spacing w:before="120" w:after="120"/>
      </w:pPr>
      <w:r>
        <w:rPr>
          <w:rFonts w:hint="eastAsia"/>
        </w:rPr>
        <w:t>金属废弃物</w:t>
      </w:r>
    </w:p>
    <w:p w14:paraId="3C8BE1FA">
      <w:pPr>
        <w:pStyle w:val="57"/>
        <w:ind w:firstLine="420"/>
      </w:pPr>
      <w:r>
        <w:rPr>
          <w:rFonts w:hint="eastAsia"/>
        </w:rPr>
        <w:t>套筒包装物应分类回收，金属回收率应达到95%以上；废弃螺栓宜集中存放，严禁与普通建筑垃圾混运。</w:t>
      </w:r>
    </w:p>
    <w:p w14:paraId="5D69093D">
      <w:pPr>
        <w:pStyle w:val="106"/>
        <w:spacing w:before="120" w:after="120"/>
      </w:pPr>
      <w:bookmarkStart w:id="111" w:name="_Toc194879335"/>
      <w:bookmarkStart w:id="112" w:name="_Toc224821805"/>
      <w:r>
        <w:rPr>
          <w:rFonts w:hint="eastAsia"/>
        </w:rPr>
        <w:t>环境监测与应急</w:t>
      </w:r>
      <w:bookmarkEnd w:id="111"/>
      <w:bookmarkEnd w:id="112"/>
    </w:p>
    <w:p w14:paraId="219445B3">
      <w:pPr>
        <w:pStyle w:val="66"/>
        <w:spacing w:before="120" w:after="120"/>
      </w:pPr>
      <w:r>
        <w:rPr>
          <w:rFonts w:hint="eastAsia"/>
        </w:rPr>
        <w:t>实时监测</w:t>
      </w:r>
    </w:p>
    <w:p w14:paraId="5042A404">
      <w:pPr>
        <w:pStyle w:val="57"/>
        <w:ind w:firstLine="420"/>
      </w:pPr>
      <w:r>
        <w:rPr>
          <w:rFonts w:hint="eastAsia"/>
        </w:rPr>
        <w:t>灌浆作业区的PM2.5浓度应控制在75μg/m³以内，数据需联网公示并每小时更新；废水排放的pH值应控制在6</w:t>
      </w:r>
      <m:oMath>
        <m:r>
          <m:rPr/>
          <w:rPr>
            <w:rFonts w:hint="eastAsia" w:ascii="Cambria Math" w:hAnsi="Cambria Math"/>
          </w:rPr>
          <m:t>~</m:t>
        </m:r>
      </m:oMath>
      <w:r>
        <w:rPr>
          <w:rFonts w:hint="eastAsia"/>
        </w:rPr>
        <w:t>9范围内，悬浮物含量不超过70 mg/L。</w:t>
      </w:r>
    </w:p>
    <w:p w14:paraId="279B0BF1">
      <w:pPr>
        <w:pStyle w:val="66"/>
        <w:spacing w:before="120" w:after="120"/>
      </w:pPr>
      <w:r>
        <w:rPr>
          <w:rFonts w:hint="eastAsia"/>
        </w:rPr>
        <w:t>应急预案</w:t>
      </w:r>
    </w:p>
    <w:p w14:paraId="0225D1E7">
      <w:pPr>
        <w:pStyle w:val="57"/>
        <w:ind w:firstLine="420"/>
      </w:pPr>
      <w:r>
        <w:rPr>
          <w:rFonts w:hint="eastAsia"/>
        </w:rPr>
        <w:t>灌浆料泄漏时立即启用吸附棉进行围堵，收集后交由危废处理单位处理；同时应配置干粉灭火器（每100 ㎡≥2具），严禁用水扑灭灌浆料火灾。</w:t>
      </w:r>
    </w:p>
    <w:p w14:paraId="2C012815">
      <w:pPr>
        <w:pStyle w:val="57"/>
        <w:ind w:firstLine="420"/>
      </w:pPr>
    </w:p>
    <w:p w14:paraId="7FF24AFA">
      <w:pPr>
        <w:pStyle w:val="105"/>
        <w:spacing w:before="240" w:after="240"/>
      </w:pPr>
      <w:bookmarkStart w:id="113" w:name="_Toc224821806"/>
      <w:r>
        <w:rPr>
          <w:rFonts w:hint="eastAsia"/>
        </w:rPr>
        <w:t>信息化管理</w:t>
      </w:r>
      <w:bookmarkEnd w:id="113"/>
    </w:p>
    <w:p w14:paraId="477A09A7">
      <w:pPr>
        <w:pStyle w:val="106"/>
        <w:spacing w:before="120" w:after="120"/>
      </w:pPr>
      <w:bookmarkStart w:id="114" w:name="_Toc224821807"/>
      <w:r>
        <w:rPr>
          <w:rFonts w:hint="eastAsia"/>
        </w:rPr>
        <w:t>一般规定</w:t>
      </w:r>
      <w:bookmarkEnd w:id="114"/>
    </w:p>
    <w:p w14:paraId="0523393B">
      <w:pPr>
        <w:pStyle w:val="166"/>
      </w:pPr>
      <w:r>
        <w:rPr>
          <w:rFonts w:hint="eastAsia"/>
        </w:rPr>
        <w:t>装配式混凝土结构高效连接工程应推行信息化管理，利用 BIM、区块链、物联网、大数据等数字化技术，实现工程设计、施工、质量控制、验收、全生命周期管理的信息化、智能化。</w:t>
      </w:r>
    </w:p>
    <w:p w14:paraId="38657D31">
      <w:pPr>
        <w:pStyle w:val="166"/>
      </w:pPr>
      <w:r>
        <w:rPr>
          <w:rFonts w:hint="eastAsia"/>
        </w:rPr>
        <w:t>建设单位应组织建立数字化施工管理平台，设计、施工、监理、检测等单位应配合做好平台数据录入、更新和维护工作，确保数据真实、完整、可追溯。</w:t>
      </w:r>
    </w:p>
    <w:p w14:paraId="4AC3659A">
      <w:pPr>
        <w:pStyle w:val="166"/>
      </w:pPr>
      <w:r>
        <w:rPr>
          <w:rFonts w:hint="eastAsia"/>
        </w:rPr>
        <w:t>信息化管理相关人员应经专项培训考核合格后上岗，具备相应的数字化技术应用能力，确保信息化管理工作顺利开展。</w:t>
      </w:r>
    </w:p>
    <w:p w14:paraId="16C9A9CB">
      <w:pPr>
        <w:pStyle w:val="106"/>
        <w:spacing w:before="120" w:after="120"/>
      </w:pPr>
      <w:bookmarkStart w:id="115" w:name="_Toc224821808"/>
      <w:r>
        <w:rPr>
          <w:rFonts w:hint="eastAsia"/>
        </w:rPr>
        <w:t>BIM技术应用</w:t>
      </w:r>
      <w:bookmarkEnd w:id="115"/>
    </w:p>
    <w:p w14:paraId="0557B702">
      <w:pPr>
        <w:pStyle w:val="166"/>
      </w:pPr>
      <w:r>
        <w:rPr>
          <w:rFonts w:hint="eastAsia"/>
        </w:rPr>
        <w:t>设计阶段应采用BIM技术进行连接节点建模、碰撞检查和优化设计，及时发现并解决节点与管线、构件之间的冲突问题，螺栓孔位冲突预警精度不应大于 1 mm。</w:t>
      </w:r>
    </w:p>
    <w:p w14:paraId="4A28D46D">
      <w:pPr>
        <w:pStyle w:val="166"/>
      </w:pPr>
      <w:r>
        <w:rPr>
          <w:rFonts w:hint="eastAsia"/>
        </w:rPr>
        <w:t>施工阶段应采用BIM技术进行施工交底、施工模拟、进度管理，将 BIM 模型与施工现场实际情况进行对比，及时调整施工方案，确保施工精度。</w:t>
      </w:r>
    </w:p>
    <w:p w14:paraId="72BDAE78">
      <w:pPr>
        <w:pStyle w:val="166"/>
      </w:pPr>
      <w:r>
        <w:rPr>
          <w:rFonts w:hint="eastAsia"/>
        </w:rPr>
        <w:t>验收阶段应提供BIM模型与现场实施。</w:t>
      </w:r>
    </w:p>
    <w:p w14:paraId="287591F8">
      <w:pPr>
        <w:pStyle w:val="166"/>
        <w:sectPr>
          <w:pgSz w:w="11906" w:h="16838"/>
          <w:pgMar w:top="1928" w:right="1134" w:bottom="1134" w:left="1134" w:header="1418" w:footer="1134" w:gutter="284"/>
          <w:pgNumType w:start="1"/>
          <w:cols w:space="425" w:num="1"/>
          <w:formProt w:val="0"/>
          <w:docGrid w:linePitch="312" w:charSpace="0"/>
        </w:sectPr>
      </w:pPr>
    </w:p>
    <w:bookmarkEnd w:id="25"/>
    <w:p w14:paraId="022F33E2">
      <w:pPr>
        <w:pStyle w:val="199"/>
        <w:rPr>
          <w:rFonts w:hint="eastAsia"/>
          <w:vanish w:val="0"/>
        </w:rPr>
      </w:pPr>
      <w:bookmarkStart w:id="116" w:name="BookMark5"/>
    </w:p>
    <w:p w14:paraId="19F79376">
      <w:pPr>
        <w:pStyle w:val="200"/>
        <w:rPr>
          <w:vanish w:val="0"/>
        </w:rPr>
      </w:pPr>
    </w:p>
    <w:p w14:paraId="73C5FA1F">
      <w:pPr>
        <w:pStyle w:val="77"/>
        <w:spacing w:after="120"/>
      </w:pPr>
      <w:r>
        <w:br w:type="textWrapping"/>
      </w:r>
      <w:bookmarkStart w:id="117" w:name="_Toc224821809"/>
      <w:r>
        <w:rPr>
          <w:rFonts w:hint="eastAsia"/>
        </w:rPr>
        <w:t>（规范性）</w:t>
      </w:r>
      <w:r>
        <w:br w:type="textWrapping"/>
      </w:r>
      <w:r>
        <w:rPr>
          <w:rFonts w:hint="eastAsia"/>
        </w:rPr>
        <w:t>高效连接节点构造要求</w:t>
      </w:r>
      <w:bookmarkEnd w:id="117"/>
    </w:p>
    <w:p w14:paraId="50DCB9F9">
      <w:pPr>
        <w:pStyle w:val="79"/>
        <w:spacing w:before="120" w:after="120"/>
      </w:pPr>
      <w:bookmarkStart w:id="118" w:name="_Toc224821810"/>
      <w:r>
        <w:rPr>
          <w:rFonts w:hint="eastAsia"/>
        </w:rPr>
        <w:t>钢筋套筒灌浆连接</w:t>
      </w:r>
      <w:bookmarkEnd w:id="118"/>
    </w:p>
    <w:p w14:paraId="696FDD2D">
      <w:pPr>
        <w:pStyle w:val="213"/>
      </w:pPr>
      <w:r>
        <w:rPr>
          <w:rFonts w:hint="eastAsia"/>
        </w:rPr>
        <w:t>竖向/水平构件套筒连接，钢筋锚固长度≥8d，套筒两端钢筋插入长度偏差≤5mm。</w:t>
      </w:r>
    </w:p>
    <w:p w14:paraId="0C8BC8E6">
      <w:pPr>
        <w:pStyle w:val="213"/>
      </w:pPr>
      <w:r>
        <w:rPr>
          <w:rFonts w:hint="eastAsia"/>
        </w:rPr>
        <w:t>相邻套筒中心间距≥3倍套筒外径且≥50mm，套筒距构件边缘≥30mm。</w:t>
      </w:r>
    </w:p>
    <w:p w14:paraId="7F13EDE3">
      <w:pPr>
        <w:pStyle w:val="79"/>
        <w:spacing w:before="120" w:after="120"/>
      </w:pPr>
      <w:bookmarkStart w:id="119" w:name="_Toc224821811"/>
      <w:r>
        <w:rPr>
          <w:rFonts w:hint="eastAsia"/>
        </w:rPr>
        <w:t>高强螺栓连接</w:t>
      </w:r>
      <w:bookmarkEnd w:id="119"/>
    </w:p>
    <w:p w14:paraId="5302C62A">
      <w:pPr>
        <w:pStyle w:val="213"/>
      </w:pPr>
      <w:r>
        <w:rPr>
          <w:rFonts w:hint="eastAsia"/>
        </w:rPr>
        <w:t>螺栓布置最小尺寸符合表A.1要求，螺栓孔与螺栓直径间隙≤1.5mm。</w:t>
      </w:r>
    </w:p>
    <w:p w14:paraId="7BBD146C">
      <w:pPr>
        <w:pStyle w:val="213"/>
      </w:pPr>
      <w:r>
        <w:rPr>
          <w:rFonts w:hint="eastAsia"/>
        </w:rPr>
        <w:t>墙板连接节点螺栓数量≥4个，梁柱节点螺栓对称布置。</w:t>
      </w:r>
    </w:p>
    <w:p w14:paraId="072DD21C">
      <w:pPr>
        <w:pStyle w:val="78"/>
        <w:spacing w:before="120" w:after="120"/>
      </w:pPr>
      <w:r>
        <w:rPr>
          <w:rFonts w:hint="eastAsia"/>
        </w:rPr>
        <w:t>高强螺栓布置最小尺寸（mm）</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32"/>
        <w:gridCol w:w="2334"/>
        <w:gridCol w:w="2334"/>
        <w:gridCol w:w="2334"/>
      </w:tblGrid>
      <w:tr w14:paraId="4C2FAB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332" w:type="dxa"/>
            <w:tcBorders>
              <w:top w:val="single" w:color="auto" w:sz="8" w:space="0"/>
              <w:bottom w:val="single" w:color="auto" w:sz="8" w:space="0"/>
            </w:tcBorders>
            <w:vAlign w:val="center"/>
          </w:tcPr>
          <w:p w14:paraId="3A12E935">
            <w:pPr>
              <w:pStyle w:val="179"/>
            </w:pPr>
            <w:r>
              <w:rPr>
                <w:rFonts w:hint="eastAsia"/>
              </w:rPr>
              <w:t>螺栓直径d</w:t>
            </w:r>
          </w:p>
        </w:tc>
        <w:tc>
          <w:tcPr>
            <w:tcW w:w="2334" w:type="dxa"/>
            <w:tcBorders>
              <w:top w:val="single" w:color="auto" w:sz="8" w:space="0"/>
              <w:bottom w:val="single" w:color="auto" w:sz="8" w:space="0"/>
            </w:tcBorders>
            <w:vAlign w:val="center"/>
          </w:tcPr>
          <w:p w14:paraId="02896D53">
            <w:pPr>
              <w:pStyle w:val="179"/>
            </w:pPr>
            <w:r>
              <w:rPr>
                <w:rFonts w:hint="eastAsia"/>
              </w:rPr>
              <w:t>中心间距</w:t>
            </w:r>
          </w:p>
        </w:tc>
        <w:tc>
          <w:tcPr>
            <w:tcW w:w="2334" w:type="dxa"/>
            <w:tcBorders>
              <w:top w:val="single" w:color="auto" w:sz="8" w:space="0"/>
              <w:bottom w:val="single" w:color="auto" w:sz="8" w:space="0"/>
            </w:tcBorders>
            <w:vAlign w:val="center"/>
          </w:tcPr>
          <w:p w14:paraId="6D33BF2C">
            <w:pPr>
              <w:pStyle w:val="179"/>
            </w:pPr>
            <w:r>
              <w:rPr>
                <w:rFonts w:hint="eastAsia"/>
              </w:rPr>
              <w:t>边距（受力方向）</w:t>
            </w:r>
          </w:p>
        </w:tc>
        <w:tc>
          <w:tcPr>
            <w:tcW w:w="2334" w:type="dxa"/>
            <w:tcBorders>
              <w:top w:val="single" w:color="auto" w:sz="8" w:space="0"/>
              <w:bottom w:val="single" w:color="auto" w:sz="8" w:space="0"/>
            </w:tcBorders>
            <w:vAlign w:val="center"/>
          </w:tcPr>
          <w:p w14:paraId="7539F9C3">
            <w:pPr>
              <w:pStyle w:val="179"/>
            </w:pPr>
            <w:r>
              <w:rPr>
                <w:rFonts w:hint="eastAsia"/>
              </w:rPr>
              <w:t>端距（垂直受力方向）</w:t>
            </w:r>
          </w:p>
        </w:tc>
      </w:tr>
      <w:tr w14:paraId="79A2A3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2" w:type="dxa"/>
            <w:tcBorders>
              <w:top w:val="single" w:color="auto" w:sz="8" w:space="0"/>
            </w:tcBorders>
            <w:vAlign w:val="center"/>
          </w:tcPr>
          <w:p w14:paraId="5BD8B1E1">
            <w:pPr>
              <w:pStyle w:val="179"/>
            </w:pPr>
            <w:r>
              <w:rPr>
                <w:rFonts w:hint="eastAsia"/>
              </w:rPr>
              <w:t>≤20</w:t>
            </w:r>
          </w:p>
        </w:tc>
        <w:tc>
          <w:tcPr>
            <w:tcW w:w="2334" w:type="dxa"/>
            <w:tcBorders>
              <w:top w:val="single" w:color="auto" w:sz="8" w:space="0"/>
            </w:tcBorders>
            <w:vAlign w:val="center"/>
          </w:tcPr>
          <w:p w14:paraId="232CF5E2">
            <w:pPr>
              <w:pStyle w:val="179"/>
            </w:pPr>
            <w:r>
              <w:rPr>
                <w:rFonts w:hint="eastAsia"/>
              </w:rPr>
              <w:t>3d</w:t>
            </w:r>
          </w:p>
        </w:tc>
        <w:tc>
          <w:tcPr>
            <w:tcW w:w="2334" w:type="dxa"/>
            <w:tcBorders>
              <w:top w:val="single" w:color="auto" w:sz="8" w:space="0"/>
            </w:tcBorders>
            <w:vAlign w:val="center"/>
          </w:tcPr>
          <w:p w14:paraId="0EE19D38">
            <w:pPr>
              <w:pStyle w:val="179"/>
            </w:pPr>
            <w:r>
              <w:rPr>
                <w:rFonts w:hint="eastAsia"/>
              </w:rPr>
              <w:t>1.5d</w:t>
            </w:r>
          </w:p>
        </w:tc>
        <w:tc>
          <w:tcPr>
            <w:tcW w:w="2334" w:type="dxa"/>
            <w:tcBorders>
              <w:top w:val="single" w:color="auto" w:sz="8" w:space="0"/>
            </w:tcBorders>
            <w:vAlign w:val="center"/>
          </w:tcPr>
          <w:p w14:paraId="00593714">
            <w:pPr>
              <w:pStyle w:val="179"/>
            </w:pPr>
            <w:r>
              <w:rPr>
                <w:rFonts w:hint="eastAsia"/>
              </w:rPr>
              <w:t>2d</w:t>
            </w:r>
          </w:p>
        </w:tc>
      </w:tr>
      <w:tr w14:paraId="36E15B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2" w:type="dxa"/>
            <w:vAlign w:val="center"/>
          </w:tcPr>
          <w:p w14:paraId="6F693548">
            <w:pPr>
              <w:pStyle w:val="179"/>
            </w:pPr>
            <w:r>
              <w:t>&gt;20</w:t>
            </w:r>
          </w:p>
        </w:tc>
        <w:tc>
          <w:tcPr>
            <w:tcW w:w="2334" w:type="dxa"/>
            <w:vAlign w:val="center"/>
          </w:tcPr>
          <w:p w14:paraId="322E0A50">
            <w:pPr>
              <w:pStyle w:val="179"/>
            </w:pPr>
            <w:r>
              <w:rPr>
                <w:rFonts w:hint="eastAsia"/>
              </w:rPr>
              <w:t>3.5d</w:t>
            </w:r>
          </w:p>
        </w:tc>
        <w:tc>
          <w:tcPr>
            <w:tcW w:w="2334" w:type="dxa"/>
            <w:vAlign w:val="center"/>
          </w:tcPr>
          <w:p w14:paraId="2B4E5BFB">
            <w:pPr>
              <w:pStyle w:val="179"/>
            </w:pPr>
            <w:r>
              <w:rPr>
                <w:rFonts w:hint="eastAsia"/>
              </w:rPr>
              <w:t>2d</w:t>
            </w:r>
          </w:p>
        </w:tc>
        <w:tc>
          <w:tcPr>
            <w:tcW w:w="2334" w:type="dxa"/>
            <w:vAlign w:val="center"/>
          </w:tcPr>
          <w:p w14:paraId="782B7982">
            <w:pPr>
              <w:pStyle w:val="179"/>
            </w:pPr>
            <w:r>
              <w:rPr>
                <w:rFonts w:hint="eastAsia"/>
              </w:rPr>
              <w:t>2.5d</w:t>
            </w:r>
          </w:p>
        </w:tc>
      </w:tr>
    </w:tbl>
    <w:p w14:paraId="6FA237F8">
      <w:pPr>
        <w:pStyle w:val="79"/>
        <w:spacing w:before="120" w:after="120"/>
      </w:pPr>
      <w:bookmarkStart w:id="120" w:name="_Toc224821812"/>
      <w:r>
        <w:rPr>
          <w:rFonts w:hint="eastAsia"/>
        </w:rPr>
        <w:t>后浇混凝土连接</w:t>
      </w:r>
      <w:bookmarkEnd w:id="120"/>
    </w:p>
    <w:p w14:paraId="4BD99B71">
      <w:pPr>
        <w:pStyle w:val="213"/>
      </w:pPr>
      <w:r>
        <w:rPr>
          <w:rFonts w:hint="eastAsia"/>
        </w:rPr>
        <w:t>预制构件结合面键槽深度≥20mm、宽度≥30mm，间距≤500mm。</w:t>
      </w:r>
    </w:p>
    <w:p w14:paraId="5409BC1C">
      <w:pPr>
        <w:pStyle w:val="213"/>
      </w:pPr>
      <w:r>
        <w:rPr>
          <w:rFonts w:hint="eastAsia"/>
        </w:rPr>
        <w:t>预留钢筋搭接长度≥300mm，搭接区箍筋间距≤100mm。</w:t>
      </w:r>
    </w:p>
    <w:p w14:paraId="7DC1662F">
      <w:pPr>
        <w:pStyle w:val="79"/>
        <w:spacing w:before="120" w:after="120"/>
      </w:pPr>
      <w:bookmarkStart w:id="121" w:name="_Toc224821813"/>
      <w:r>
        <w:rPr>
          <w:rFonts w:hint="eastAsia"/>
        </w:rPr>
        <w:t>浆锚搭接连接</w:t>
      </w:r>
      <w:bookmarkEnd w:id="121"/>
    </w:p>
    <w:p w14:paraId="478DCA34">
      <w:pPr>
        <w:pStyle w:val="213"/>
      </w:pPr>
      <w:r>
        <w:rPr>
          <w:rFonts w:hint="eastAsia"/>
        </w:rPr>
        <w:t>波纹管内径比钢筋直径大 10~15mm，两端密封长度≥50mm。</w:t>
      </w:r>
    </w:p>
    <w:p w14:paraId="08492F89">
      <w:pPr>
        <w:pStyle w:val="213"/>
      </w:pPr>
      <w:r>
        <w:rPr>
          <w:rFonts w:hint="eastAsia"/>
        </w:rPr>
        <w:t>波纹管外侧螺旋箍筋直径≥6mm，间距≤100mm。</w:t>
      </w:r>
    </w:p>
    <w:p w14:paraId="7C28A3D2">
      <w:pPr>
        <w:pStyle w:val="57"/>
        <w:ind w:firstLine="420"/>
      </w:pPr>
    </w:p>
    <w:p w14:paraId="54F991EF">
      <w:pPr>
        <w:pStyle w:val="57"/>
        <w:ind w:firstLine="420"/>
      </w:pPr>
    </w:p>
    <w:p w14:paraId="15C14C51">
      <w:pPr>
        <w:pStyle w:val="57"/>
        <w:ind w:firstLine="420"/>
        <w:sectPr>
          <w:pgSz w:w="11906" w:h="16838"/>
          <w:pgMar w:top="1928" w:right="1134" w:bottom="1134" w:left="1134" w:header="1418" w:footer="1134" w:gutter="284"/>
          <w:cols w:space="425" w:num="1"/>
          <w:formProt w:val="0"/>
          <w:docGrid w:linePitch="312" w:charSpace="0"/>
        </w:sectPr>
      </w:pPr>
    </w:p>
    <w:p w14:paraId="10F4CFF1">
      <w:pPr>
        <w:pStyle w:val="199"/>
        <w:rPr>
          <w:rFonts w:hint="eastAsia"/>
          <w:vanish w:val="0"/>
        </w:rPr>
      </w:pPr>
    </w:p>
    <w:p w14:paraId="6C4983E7">
      <w:pPr>
        <w:pStyle w:val="200"/>
        <w:rPr>
          <w:vanish w:val="0"/>
        </w:rPr>
      </w:pPr>
    </w:p>
    <w:p w14:paraId="0D5524AE">
      <w:pPr>
        <w:pStyle w:val="77"/>
        <w:spacing w:after="120"/>
      </w:pPr>
      <w:r>
        <w:br w:type="textWrapping"/>
      </w:r>
      <w:bookmarkStart w:id="122" w:name="_Toc224821814"/>
      <w:r>
        <w:rPr>
          <w:rFonts w:hint="eastAsia"/>
        </w:rPr>
        <w:t>（资料性）</w:t>
      </w:r>
      <w:r>
        <w:br w:type="textWrapping"/>
      </w:r>
      <w:r>
        <w:rPr>
          <w:rFonts w:hint="eastAsia"/>
        </w:rPr>
        <w:t>检验记录与归档要求</w:t>
      </w:r>
      <w:bookmarkEnd w:id="122"/>
    </w:p>
    <w:p w14:paraId="1E1625AD">
      <w:pPr>
        <w:pStyle w:val="79"/>
        <w:spacing w:before="120" w:after="120"/>
      </w:pPr>
      <w:bookmarkStart w:id="123" w:name="_Toc224821815"/>
      <w:r>
        <w:rPr>
          <w:rFonts w:hint="eastAsia"/>
        </w:rPr>
        <w:t>核心检验记录表</w:t>
      </w:r>
      <w:bookmarkEnd w:id="123"/>
    </w:p>
    <w:p w14:paraId="15E053A1">
      <w:pPr>
        <w:pStyle w:val="80"/>
        <w:spacing w:before="120" w:after="120"/>
      </w:pPr>
      <w:r>
        <w:rPr>
          <w:rFonts w:hint="eastAsia"/>
        </w:rPr>
        <w:t>材料进场检验表</w:t>
      </w:r>
    </w:p>
    <w:p w14:paraId="0099F292">
      <w:pPr>
        <w:pStyle w:val="57"/>
        <w:ind w:firstLine="420"/>
      </w:pPr>
      <w:r>
        <w:rPr>
          <w:rFonts w:hint="eastAsia"/>
        </w:rPr>
        <w:t>含材料名称、规格、进场数量、检验项目、结果、监理确认等核心项。</w:t>
      </w:r>
    </w:p>
    <w:p w14:paraId="45B038C2">
      <w:pPr>
        <w:pStyle w:val="80"/>
        <w:spacing w:before="120" w:after="120"/>
      </w:pPr>
      <w:r>
        <w:rPr>
          <w:rFonts w:hint="eastAsia"/>
        </w:rPr>
        <w:t>套筒灌浆施工表</w:t>
      </w:r>
    </w:p>
    <w:p w14:paraId="495B1DEE">
      <w:pPr>
        <w:pStyle w:val="57"/>
        <w:ind w:firstLine="420"/>
      </w:pPr>
      <w:r>
        <w:rPr>
          <w:rFonts w:hint="eastAsia"/>
        </w:rPr>
        <w:t>含工程部位、水料比、灌浆压力、饱满度检测、影像/区块链存证编号等。</w:t>
      </w:r>
    </w:p>
    <w:p w14:paraId="5D2970B8">
      <w:pPr>
        <w:pStyle w:val="80"/>
        <w:spacing w:before="120" w:after="120"/>
      </w:pPr>
      <w:r>
        <w:rPr>
          <w:rFonts w:hint="eastAsia"/>
        </w:rPr>
        <w:t>高强螺栓紧固表</w:t>
      </w:r>
    </w:p>
    <w:p w14:paraId="39DDB9B6">
      <w:pPr>
        <w:pStyle w:val="57"/>
        <w:ind w:firstLine="420"/>
      </w:pPr>
      <w:r>
        <w:rPr>
          <w:rFonts w:hint="eastAsia"/>
        </w:rPr>
        <w:t>含螺栓型号、初/终拧扭矩、复查结果、防腐处理、外露丝扣数量等。</w:t>
      </w:r>
    </w:p>
    <w:p w14:paraId="67620EC9">
      <w:pPr>
        <w:pStyle w:val="80"/>
        <w:spacing w:before="120" w:after="120"/>
      </w:pPr>
      <w:r>
        <w:rPr>
          <w:rFonts w:hint="eastAsia"/>
        </w:rPr>
        <w:t>节点竣工验收表</w:t>
      </w:r>
    </w:p>
    <w:p w14:paraId="490DC06A">
      <w:pPr>
        <w:pStyle w:val="57"/>
        <w:ind w:firstLine="420"/>
      </w:pPr>
      <w:r>
        <w:rPr>
          <w:rFonts w:hint="eastAsia"/>
        </w:rPr>
        <w:t>含节点类型、抽检数量、检测项目、设计要求、结果、各单位验收意见等。</w:t>
      </w:r>
    </w:p>
    <w:p w14:paraId="5FBA26F9">
      <w:pPr>
        <w:pStyle w:val="79"/>
        <w:spacing w:before="120" w:after="120"/>
      </w:pPr>
      <w:bookmarkStart w:id="124" w:name="_Toc224821816"/>
      <w:r>
        <w:rPr>
          <w:rFonts w:hint="eastAsia"/>
        </w:rPr>
        <w:t>资料归档要求</w:t>
      </w:r>
      <w:bookmarkEnd w:id="124"/>
    </w:p>
    <w:p w14:paraId="137FA392">
      <w:pPr>
        <w:pStyle w:val="213"/>
      </w:pPr>
      <w:r>
        <w:rPr>
          <w:rFonts w:hint="eastAsia"/>
        </w:rPr>
        <w:t>资料分纸质+电子版，按单位工程-检验批层级整理，签字盖章齐全。</w:t>
      </w:r>
    </w:p>
    <w:p w14:paraId="4E7DD406">
      <w:pPr>
        <w:pStyle w:val="213"/>
      </w:pPr>
      <w:r>
        <w:rPr>
          <w:rFonts w:hint="eastAsia"/>
        </w:rPr>
        <w:t>纸质版为A4规格，电子版含扫描件、影像、BIM模型、监测数据等。</w:t>
      </w:r>
    </w:p>
    <w:p w14:paraId="7C6FA180">
      <w:pPr>
        <w:pStyle w:val="213"/>
      </w:pPr>
      <w:r>
        <w:rPr>
          <w:rFonts w:hint="eastAsia"/>
        </w:rPr>
        <w:t>归档核心资料：专项方案、材料合格证明/检测报告、施工/验收记录、关键工序影像、数字化追溯数据。</w:t>
      </w:r>
    </w:p>
    <w:p w14:paraId="253EED24">
      <w:pPr>
        <w:pStyle w:val="213"/>
      </w:pPr>
      <w:r>
        <w:rPr>
          <w:rFonts w:hint="eastAsia"/>
        </w:rPr>
        <w:t>资料保存期限≥工程设计使用年限，移交建设单位统一留存。</w:t>
      </w:r>
    </w:p>
    <w:bookmarkEnd w:id="116"/>
    <w:p w14:paraId="1DFD21C7">
      <w:pPr>
        <w:pStyle w:val="57"/>
        <w:ind w:firstLine="0" w:firstLineChars="0"/>
        <w:jc w:val="center"/>
      </w:pPr>
      <w:bookmarkStart w:id="125" w:name="BookMark8"/>
      <w:r>
        <w:rPr>
          <w:rFonts w:hint="eastAsia"/>
        </w:rPr>
        <w:drawing>
          <wp:inline distT="0" distB="0" distL="0" distR="0">
            <wp:extent cx="1485900" cy="317500"/>
            <wp:effectExtent l="0" t="0" r="0" b="6350"/>
            <wp:docPr id="33390700" name="图片 3"/>
            <wp:cNvGraphicFramePr/>
            <a:graphic xmlns:a="http://schemas.openxmlformats.org/drawingml/2006/main">
              <a:graphicData uri="http://schemas.openxmlformats.org/drawingml/2006/picture">
                <pic:pic xmlns:pic="http://schemas.openxmlformats.org/drawingml/2006/picture">
                  <pic:nvPicPr>
                    <pic:cNvPr id="33390700" name="图片 3"/>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25"/>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7D011">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B2A0E">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74D8F">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B2A8A">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3CAF9">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285B6">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6F6FA">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C1DEF">
    <w:pPr>
      <w:pStyle w:val="62"/>
      <w:rPr>
        <w:rFonts w:hint="eastAsia"/>
      </w:rPr>
    </w:pPr>
    <w:r>
      <w:fldChar w:fldCharType="begin"/>
    </w:r>
    <w:r>
      <w:instrText xml:space="preserve"> STYLEREF  标准文件_文件编号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2BFDB">
    <w:pPr>
      <w:pStyle w:val="18"/>
      <w:jc w:val="right"/>
    </w:pPr>
    <w:r>
      <w:fldChar w:fldCharType="begin"/>
    </w:r>
    <w:r>
      <w:instrText xml:space="preserve"> STYLEREF  标准文件_文件编号  \* MERGEFORMAT </w:instrText>
    </w:r>
    <w:r>
      <w:fldChar w:fldCharType="separate"/>
    </w:r>
    <w:r>
      <w:t>T/XXX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4677"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CFE"/>
    <w:rsid w:val="0000040A"/>
    <w:rsid w:val="00000A94"/>
    <w:rsid w:val="00001972"/>
    <w:rsid w:val="00001D9A"/>
    <w:rsid w:val="00001FD4"/>
    <w:rsid w:val="00003D0E"/>
    <w:rsid w:val="00007B3A"/>
    <w:rsid w:val="000107E0"/>
    <w:rsid w:val="00011FDE"/>
    <w:rsid w:val="00012FFD"/>
    <w:rsid w:val="00014162"/>
    <w:rsid w:val="00014340"/>
    <w:rsid w:val="00016A9C"/>
    <w:rsid w:val="00022184"/>
    <w:rsid w:val="00022762"/>
    <w:rsid w:val="000238E0"/>
    <w:rsid w:val="000249DB"/>
    <w:rsid w:val="0002595E"/>
    <w:rsid w:val="000303C3"/>
    <w:rsid w:val="00031A7A"/>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42BC"/>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A0C"/>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674"/>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580"/>
    <w:rsid w:val="00194C95"/>
    <w:rsid w:val="00195C34"/>
    <w:rsid w:val="00196EF5"/>
    <w:rsid w:val="001A1A53"/>
    <w:rsid w:val="001A234A"/>
    <w:rsid w:val="001A40E9"/>
    <w:rsid w:val="001A4CF3"/>
    <w:rsid w:val="001A6696"/>
    <w:rsid w:val="001B06E8"/>
    <w:rsid w:val="001B71D0"/>
    <w:rsid w:val="001B71EE"/>
    <w:rsid w:val="001C04A8"/>
    <w:rsid w:val="001C16F1"/>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1F78CD"/>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37BBB"/>
    <w:rsid w:val="00241700"/>
    <w:rsid w:val="00243540"/>
    <w:rsid w:val="0024497B"/>
    <w:rsid w:val="0024515B"/>
    <w:rsid w:val="00246021"/>
    <w:rsid w:val="0024666E"/>
    <w:rsid w:val="002473E0"/>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0EEA"/>
    <w:rsid w:val="00302F5F"/>
    <w:rsid w:val="0030441D"/>
    <w:rsid w:val="00305792"/>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53F14"/>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24E2"/>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1410"/>
    <w:rsid w:val="0041477A"/>
    <w:rsid w:val="004167A3"/>
    <w:rsid w:val="00432DAA"/>
    <w:rsid w:val="00434305"/>
    <w:rsid w:val="00435DF7"/>
    <w:rsid w:val="0043741A"/>
    <w:rsid w:val="0044083F"/>
    <w:rsid w:val="00441AE7"/>
    <w:rsid w:val="00445574"/>
    <w:rsid w:val="00445BD2"/>
    <w:rsid w:val="004467FB"/>
    <w:rsid w:val="00452D6B"/>
    <w:rsid w:val="00454484"/>
    <w:rsid w:val="0045517B"/>
    <w:rsid w:val="00460981"/>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1B2"/>
    <w:rsid w:val="004939AE"/>
    <w:rsid w:val="00495294"/>
    <w:rsid w:val="004A12DF"/>
    <w:rsid w:val="004A1BA8"/>
    <w:rsid w:val="004A4B57"/>
    <w:rsid w:val="004A63FA"/>
    <w:rsid w:val="004A6A3D"/>
    <w:rsid w:val="004B0272"/>
    <w:rsid w:val="004B2701"/>
    <w:rsid w:val="004B2E1B"/>
    <w:rsid w:val="004B3AA8"/>
    <w:rsid w:val="004B3E93"/>
    <w:rsid w:val="004B5D36"/>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867"/>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17771"/>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6748A"/>
    <w:rsid w:val="00573D9E"/>
    <w:rsid w:val="005801E3"/>
    <w:rsid w:val="00580836"/>
    <w:rsid w:val="00581802"/>
    <w:rsid w:val="005836A8"/>
    <w:rsid w:val="0058409C"/>
    <w:rsid w:val="00584262"/>
    <w:rsid w:val="00586630"/>
    <w:rsid w:val="00587ADD"/>
    <w:rsid w:val="00593A49"/>
    <w:rsid w:val="00596160"/>
    <w:rsid w:val="005966E2"/>
    <w:rsid w:val="00597007"/>
    <w:rsid w:val="005A0966"/>
    <w:rsid w:val="005A11B7"/>
    <w:rsid w:val="005A260B"/>
    <w:rsid w:val="005A3D99"/>
    <w:rsid w:val="005A4A1B"/>
    <w:rsid w:val="005A7830"/>
    <w:rsid w:val="005A7FCE"/>
    <w:rsid w:val="005B0F3F"/>
    <w:rsid w:val="005B191C"/>
    <w:rsid w:val="005B4903"/>
    <w:rsid w:val="005B51CE"/>
    <w:rsid w:val="005B5885"/>
    <w:rsid w:val="005B5CD7"/>
    <w:rsid w:val="005B6CF6"/>
    <w:rsid w:val="005B7422"/>
    <w:rsid w:val="005C29B8"/>
    <w:rsid w:val="005C5E71"/>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0F5F"/>
    <w:rsid w:val="006252D8"/>
    <w:rsid w:val="006259BC"/>
    <w:rsid w:val="0062636B"/>
    <w:rsid w:val="00632182"/>
    <w:rsid w:val="00632AE0"/>
    <w:rsid w:val="00633C17"/>
    <w:rsid w:val="00634D9E"/>
    <w:rsid w:val="00636E3E"/>
    <w:rsid w:val="006379F7"/>
    <w:rsid w:val="00637B92"/>
    <w:rsid w:val="00637E4D"/>
    <w:rsid w:val="00640620"/>
    <w:rsid w:val="00641A1F"/>
    <w:rsid w:val="00645904"/>
    <w:rsid w:val="00651ACB"/>
    <w:rsid w:val="00651C47"/>
    <w:rsid w:val="00652AB2"/>
    <w:rsid w:val="00653FED"/>
    <w:rsid w:val="00654EC0"/>
    <w:rsid w:val="0065525B"/>
    <w:rsid w:val="00655D4F"/>
    <w:rsid w:val="00656D29"/>
    <w:rsid w:val="00657433"/>
    <w:rsid w:val="006630B7"/>
    <w:rsid w:val="006640E5"/>
    <w:rsid w:val="006646F1"/>
    <w:rsid w:val="00664929"/>
    <w:rsid w:val="00664F62"/>
    <w:rsid w:val="006655E1"/>
    <w:rsid w:val="00672060"/>
    <w:rsid w:val="00672BFD"/>
    <w:rsid w:val="0067530F"/>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408"/>
    <w:rsid w:val="006D3E96"/>
    <w:rsid w:val="006D4515"/>
    <w:rsid w:val="006D4BB1"/>
    <w:rsid w:val="006D6593"/>
    <w:rsid w:val="006F03A8"/>
    <w:rsid w:val="006F2ACA"/>
    <w:rsid w:val="006F2ADC"/>
    <w:rsid w:val="006F2BFE"/>
    <w:rsid w:val="006F31E9"/>
    <w:rsid w:val="006F6284"/>
    <w:rsid w:val="007002C5"/>
    <w:rsid w:val="00700EEB"/>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1AA5"/>
    <w:rsid w:val="00765C43"/>
    <w:rsid w:val="00765EFB"/>
    <w:rsid w:val="007671CA"/>
    <w:rsid w:val="00767C61"/>
    <w:rsid w:val="0077008A"/>
    <w:rsid w:val="00773C1F"/>
    <w:rsid w:val="00774DA4"/>
    <w:rsid w:val="00776599"/>
    <w:rsid w:val="0078114B"/>
    <w:rsid w:val="007815E2"/>
    <w:rsid w:val="00781DD2"/>
    <w:rsid w:val="00783ECF"/>
    <w:rsid w:val="0078413A"/>
    <w:rsid w:val="007959E8"/>
    <w:rsid w:val="00795E9C"/>
    <w:rsid w:val="007A0521"/>
    <w:rsid w:val="007A2E12"/>
    <w:rsid w:val="007A3475"/>
    <w:rsid w:val="007A41C8"/>
    <w:rsid w:val="007A5284"/>
    <w:rsid w:val="007A54CE"/>
    <w:rsid w:val="007A5D3A"/>
    <w:rsid w:val="007A6FD9"/>
    <w:rsid w:val="007A7FFA"/>
    <w:rsid w:val="007B04EB"/>
    <w:rsid w:val="007B0D4F"/>
    <w:rsid w:val="007B5A3D"/>
    <w:rsid w:val="007B5B95"/>
    <w:rsid w:val="007B6032"/>
    <w:rsid w:val="007B68EA"/>
    <w:rsid w:val="007B7453"/>
    <w:rsid w:val="007C2D89"/>
    <w:rsid w:val="007C4593"/>
    <w:rsid w:val="007C4D5D"/>
    <w:rsid w:val="007C5309"/>
    <w:rsid w:val="007C6069"/>
    <w:rsid w:val="007D06C4"/>
    <w:rsid w:val="007D1352"/>
    <w:rsid w:val="007D2508"/>
    <w:rsid w:val="007D346A"/>
    <w:rsid w:val="007D5773"/>
    <w:rsid w:val="007D6518"/>
    <w:rsid w:val="007D6CFE"/>
    <w:rsid w:val="007D76BD"/>
    <w:rsid w:val="007E0BF1"/>
    <w:rsid w:val="007E4E8C"/>
    <w:rsid w:val="007F0ED8"/>
    <w:rsid w:val="007F0F63"/>
    <w:rsid w:val="007F2D43"/>
    <w:rsid w:val="007F75CE"/>
    <w:rsid w:val="008013A4"/>
    <w:rsid w:val="008027CE"/>
    <w:rsid w:val="00802F42"/>
    <w:rsid w:val="0080314B"/>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C8C"/>
    <w:rsid w:val="00863E05"/>
    <w:rsid w:val="00865ACA"/>
    <w:rsid w:val="00865D28"/>
    <w:rsid w:val="00865F85"/>
    <w:rsid w:val="00867C10"/>
    <w:rsid w:val="00870439"/>
    <w:rsid w:val="00870DA1"/>
    <w:rsid w:val="00880DFC"/>
    <w:rsid w:val="00883F93"/>
    <w:rsid w:val="00884DB3"/>
    <w:rsid w:val="00885A9D"/>
    <w:rsid w:val="008864F6"/>
    <w:rsid w:val="0089049D"/>
    <w:rsid w:val="008928C9"/>
    <w:rsid w:val="008930CB"/>
    <w:rsid w:val="008938DC"/>
    <w:rsid w:val="00893FD1"/>
    <w:rsid w:val="00894836"/>
    <w:rsid w:val="00895172"/>
    <w:rsid w:val="00895680"/>
    <w:rsid w:val="00896DFF"/>
    <w:rsid w:val="008972FB"/>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6F88"/>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1FED"/>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4D2E"/>
    <w:rsid w:val="00A153D9"/>
    <w:rsid w:val="00A15F09"/>
    <w:rsid w:val="00A169B6"/>
    <w:rsid w:val="00A2271D"/>
    <w:rsid w:val="00A237D5"/>
    <w:rsid w:val="00A24CD1"/>
    <w:rsid w:val="00A30EFC"/>
    <w:rsid w:val="00A31984"/>
    <w:rsid w:val="00A32D73"/>
    <w:rsid w:val="00A3367B"/>
    <w:rsid w:val="00A33C67"/>
    <w:rsid w:val="00A3597D"/>
    <w:rsid w:val="00A35F46"/>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2818"/>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4F8"/>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00B6"/>
    <w:rsid w:val="00B31FB1"/>
    <w:rsid w:val="00B33952"/>
    <w:rsid w:val="00B33C5E"/>
    <w:rsid w:val="00B342F4"/>
    <w:rsid w:val="00B34369"/>
    <w:rsid w:val="00B34DC2"/>
    <w:rsid w:val="00B378E5"/>
    <w:rsid w:val="00B40989"/>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5351"/>
    <w:rsid w:val="00BF74A6"/>
    <w:rsid w:val="00C00048"/>
    <w:rsid w:val="00C013AD"/>
    <w:rsid w:val="00C04904"/>
    <w:rsid w:val="00C056B3"/>
    <w:rsid w:val="00C103E5"/>
    <w:rsid w:val="00C13319"/>
    <w:rsid w:val="00C13EE9"/>
    <w:rsid w:val="00C205A0"/>
    <w:rsid w:val="00C21540"/>
    <w:rsid w:val="00C21906"/>
    <w:rsid w:val="00C21BFA"/>
    <w:rsid w:val="00C24C8D"/>
    <w:rsid w:val="00C25FE2"/>
    <w:rsid w:val="00C2649F"/>
    <w:rsid w:val="00C26B53"/>
    <w:rsid w:val="00C279B2"/>
    <w:rsid w:val="00C33E50"/>
    <w:rsid w:val="00C34C20"/>
    <w:rsid w:val="00C35A3E"/>
    <w:rsid w:val="00C40D8D"/>
    <w:rsid w:val="00C42130"/>
    <w:rsid w:val="00C423A4"/>
    <w:rsid w:val="00C423E3"/>
    <w:rsid w:val="00C448E6"/>
    <w:rsid w:val="00C44BF5"/>
    <w:rsid w:val="00C50650"/>
    <w:rsid w:val="00C521D6"/>
    <w:rsid w:val="00C55232"/>
    <w:rsid w:val="00C553A4"/>
    <w:rsid w:val="00C55A06"/>
    <w:rsid w:val="00C55D03"/>
    <w:rsid w:val="00C601BC"/>
    <w:rsid w:val="00C6149A"/>
    <w:rsid w:val="00C6329F"/>
    <w:rsid w:val="00C63340"/>
    <w:rsid w:val="00C643F9"/>
    <w:rsid w:val="00C64E95"/>
    <w:rsid w:val="00C664CE"/>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1B89"/>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1783"/>
    <w:rsid w:val="00D32719"/>
    <w:rsid w:val="00D32D24"/>
    <w:rsid w:val="00D33333"/>
    <w:rsid w:val="00D352A2"/>
    <w:rsid w:val="00D41615"/>
    <w:rsid w:val="00D4162B"/>
    <w:rsid w:val="00D4514F"/>
    <w:rsid w:val="00D451E2"/>
    <w:rsid w:val="00D45E89"/>
    <w:rsid w:val="00D45E8D"/>
    <w:rsid w:val="00D466AE"/>
    <w:rsid w:val="00D4734F"/>
    <w:rsid w:val="00D51BF3"/>
    <w:rsid w:val="00D66448"/>
    <w:rsid w:val="00D66846"/>
    <w:rsid w:val="00D675FB"/>
    <w:rsid w:val="00D71F25"/>
    <w:rsid w:val="00D72A9C"/>
    <w:rsid w:val="00D77031"/>
    <w:rsid w:val="00D80D96"/>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3C1F"/>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3E7D"/>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666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03A0"/>
    <w:rsid w:val="00F25185"/>
    <w:rsid w:val="00F25BB6"/>
    <w:rsid w:val="00F26B7E"/>
    <w:rsid w:val="00F27A3B"/>
    <w:rsid w:val="00F31217"/>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A54"/>
    <w:rsid w:val="00F71E22"/>
    <w:rsid w:val="00F72142"/>
    <w:rsid w:val="00F72AE7"/>
    <w:rsid w:val="00F833BA"/>
    <w:rsid w:val="00F84C2A"/>
    <w:rsid w:val="00F84FD0"/>
    <w:rsid w:val="00F859A8"/>
    <w:rsid w:val="00F86D87"/>
    <w:rsid w:val="00F9108B"/>
    <w:rsid w:val="00F910FC"/>
    <w:rsid w:val="00F91349"/>
    <w:rsid w:val="00F91FED"/>
    <w:rsid w:val="00F93A8A"/>
    <w:rsid w:val="00F95248"/>
    <w:rsid w:val="00F956A9"/>
    <w:rsid w:val="00F963ED"/>
    <w:rsid w:val="00F966CF"/>
    <w:rsid w:val="00F96CAE"/>
    <w:rsid w:val="00F97C99"/>
    <w:rsid w:val="00FA662D"/>
    <w:rsid w:val="00FA73B1"/>
    <w:rsid w:val="00FB0CB9"/>
    <w:rsid w:val="00FB231D"/>
    <w:rsid w:val="00FB4546"/>
    <w:rsid w:val="00FB45F1"/>
    <w:rsid w:val="00FB4A72"/>
    <w:rsid w:val="00FB54E8"/>
    <w:rsid w:val="00FB7054"/>
    <w:rsid w:val="00FC17B7"/>
    <w:rsid w:val="00FC2CB7"/>
    <w:rsid w:val="00FC4090"/>
    <w:rsid w:val="00FC55B4"/>
    <w:rsid w:val="00FD00E6"/>
    <w:rsid w:val="00FD09A1"/>
    <w:rsid w:val="00FD2A7C"/>
    <w:rsid w:val="00FD4AB7"/>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1C28107A"/>
    <w:rsid w:val="2EA71970"/>
    <w:rsid w:val="553712F6"/>
    <w:rsid w:val="73D13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Normal (Web)"/>
    <w:basedOn w:val="1"/>
    <w:semiHidden/>
    <w:unhideWhenUsed/>
    <w:qFormat/>
    <w:uiPriority w:val="99"/>
    <w:rPr>
      <w:rFonts w:ascii="Times New Roman" w:hAnsi="Times New Roman"/>
      <w:sz w:val="24"/>
      <w:szCs w:val="24"/>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8"/>
    <w:qFormat/>
    <w:uiPriority w:val="99"/>
    <w:rPr>
      <w:kern w:val="2"/>
      <w:sz w:val="18"/>
      <w:szCs w:val="18"/>
    </w:rPr>
  </w:style>
  <w:style w:type="character" w:customStyle="1" w:styleId="45">
    <w:name w:val="页脚 字符"/>
    <w:link w:val="17"/>
    <w:qFormat/>
    <w:uiPriority w:val="99"/>
    <w:rPr>
      <w:rFonts w:ascii="宋体"/>
      <w:kern w:val="2"/>
      <w:sz w:val="18"/>
      <w:szCs w:val="18"/>
    </w:rPr>
  </w:style>
  <w:style w:type="character" w:customStyle="1" w:styleId="46">
    <w:name w:val="批注框文本 字符"/>
    <w:link w:val="16"/>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ind w:left="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uiPriority w:val="0"/>
    <w:pPr>
      <w:framePr w:w="3997" w:h="471" w:hRule="exact" w:hSpace="0" w:vSpace="181" w:wrap="around" w:vAnchor="page" w:hAnchor="page" w:x="1419" w:y="14097"/>
    </w:pPr>
  </w:style>
  <w:style w:type="paragraph" w:customStyle="1" w:styleId="195">
    <w:name w:val="其他实施日期"/>
    <w:basedOn w:val="155"/>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6319B3F34C44C50B8224FB5CFC3FA6B"/>
        <w:style w:val=""/>
        <w:category>
          <w:name w:val="常规"/>
          <w:gallery w:val="placeholder"/>
        </w:category>
        <w:types>
          <w:type w:val="bbPlcHdr"/>
        </w:types>
        <w:behaviors>
          <w:behavior w:val="content"/>
        </w:behaviors>
        <w:description w:val=""/>
        <w:guid w:val="{0AAB2D57-57D3-4319-B28F-6E33D3AADC25}"/>
      </w:docPartPr>
      <w:docPartBody>
        <w:p w14:paraId="5D5116EB">
          <w:pPr>
            <w:pStyle w:val="5"/>
            <w:rPr>
              <w:rFonts w:hint="eastAsia"/>
            </w:rPr>
          </w:pPr>
          <w:r>
            <w:rPr>
              <w:rStyle w:val="4"/>
              <w:rFonts w:hint="eastAsia"/>
            </w:rPr>
            <w:t>单击或点击此处输入文字。</w:t>
          </w:r>
        </w:p>
      </w:docPartBody>
    </w:docPart>
    <w:docPart>
      <w:docPartPr>
        <w:name w:val="43AA53E145F246B7A1A0D1D9E4380EB9"/>
        <w:style w:val=""/>
        <w:category>
          <w:name w:val="常规"/>
          <w:gallery w:val="placeholder"/>
        </w:category>
        <w:types>
          <w:type w:val="bbPlcHdr"/>
        </w:types>
        <w:behaviors>
          <w:behavior w:val="content"/>
        </w:behaviors>
        <w:description w:val=""/>
        <w:guid w:val="{79137015-B958-400A-8A78-95874B29BA4D}"/>
      </w:docPartPr>
      <w:docPartBody>
        <w:p w14:paraId="7B935E61">
          <w:pPr>
            <w:pStyle w:val="6"/>
            <w:rPr>
              <w:rFonts w:hint="eastAsia"/>
            </w:rPr>
          </w:pPr>
          <w:r>
            <w:rPr>
              <w:rStyle w:val="4"/>
              <w:rFonts w:hint="eastAsia"/>
            </w:rPr>
            <w:t>选择一项。</w:t>
          </w:r>
        </w:p>
      </w:docPartBody>
    </w:docPart>
    <w:docPart>
      <w:docPartPr>
        <w:name w:val="1A7E00D575BF4396B2D8EB2276A85585"/>
        <w:style w:val=""/>
        <w:category>
          <w:name w:val="常规"/>
          <w:gallery w:val="placeholder"/>
        </w:category>
        <w:types>
          <w:type w:val="bbPlcHdr"/>
        </w:types>
        <w:behaviors>
          <w:behavior w:val="content"/>
        </w:behaviors>
        <w:description w:val=""/>
        <w:guid w:val="{07EC0AE5-35F9-4EA6-B507-B48C91F5A036}"/>
      </w:docPartPr>
      <w:docPartBody>
        <w:p w14:paraId="2EA0B26D">
          <w:pPr>
            <w:pStyle w:val="7"/>
            <w:rPr>
              <w:rFonts w:hint="eastAsia"/>
            </w:rPr>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507"/>
    <w:rsid w:val="0005592F"/>
    <w:rsid w:val="001A40E9"/>
    <w:rsid w:val="001F78CD"/>
    <w:rsid w:val="00234914"/>
    <w:rsid w:val="00243EB0"/>
    <w:rsid w:val="00305792"/>
    <w:rsid w:val="00353F14"/>
    <w:rsid w:val="003C24E2"/>
    <w:rsid w:val="00430507"/>
    <w:rsid w:val="00517771"/>
    <w:rsid w:val="00616081"/>
    <w:rsid w:val="007563CD"/>
    <w:rsid w:val="007815E2"/>
    <w:rsid w:val="007C4D5D"/>
    <w:rsid w:val="00867F63"/>
    <w:rsid w:val="008F4822"/>
    <w:rsid w:val="00A02B4C"/>
    <w:rsid w:val="00A30919"/>
    <w:rsid w:val="00B03373"/>
    <w:rsid w:val="00C00048"/>
    <w:rsid w:val="00CD4F78"/>
    <w:rsid w:val="00FE7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46319B3F34C44C50B8224FB5CFC3FA6B"/>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43AA53E145F246B7A1A0D1D9E4380EB9"/>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1A7E00D575BF4396B2D8EB2276A85585"/>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0F809-F1B0-47A2-BF3F-77BC97C7211C}">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17</Pages>
  <Words>10294</Words>
  <Characters>11559</Characters>
  <Lines>110</Lines>
  <Paragraphs>31</Paragraphs>
  <TotalTime>4</TotalTime>
  <ScaleCrop>false</ScaleCrop>
  <LinksUpToDate>false</LinksUpToDate>
  <CharactersWithSpaces>11923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2025-04-06T12:47:00Z</dcterms:created>
  <dc:creator>DELL</dc:creator>
  <dc:description>&lt;config cover="true" show_menu="true" version="1.0.0" doctype="SDKXY"&gt;_x000d_
&lt;/config&gt;</dc:description>
  <cp:lastModifiedBy>WPS_1481097801</cp:lastModifiedBy>
  <cp:lastPrinted>2021-02-02T08:22:00Z</cp:lastPrinted>
  <dcterms:modified xsi:type="dcterms:W3CDTF">2026-03-20T07:58:20Z</dcterms:modified>
  <dc:title>团体标准</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2052-12.1.0.25225</vt:lpwstr>
  </property>
  <property fmtid="{D5CDD505-2E9C-101B-9397-08002B2CF9AE}" pid="15" name="ICV">
    <vt:lpwstr>220A74207C4B47409C2788520EB738F5_13</vt:lpwstr>
  </property>
  <property fmtid="{D5CDD505-2E9C-101B-9397-08002B2CF9AE}" pid="16" name="KSOTemplateDocerSaveRecord">
    <vt:lpwstr>eyJoZGlkIjoiMmVkNzEzYTdkNjMzYTc2ZjFmNGFiZDhmOTQ4NDg0ZTQiLCJ1c2VySWQiOiIyNTUzODg0ODIifQ==</vt:lpwstr>
  </property>
</Properties>
</file>